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שופטת</w:t>
            </w:r>
            <w:r w:rsidR="006816EC">
              <w:rPr>
                <w:rFonts w:ascii="Arial" w:hAnsi="Arial" w:hint="cs"/>
                <w:b/>
                <w:bCs/>
                <w:rtl/>
              </w:rPr>
              <w:t xml:space="preserve">  </w:t>
            </w:r>
            <w:r>
              <w:rPr>
                <w:rFonts w:ascii="Arial" w:hAnsi="Arial"/>
                <w:b/>
                <w:bCs/>
                <w:rtl/>
              </w:rPr>
              <w:t>שני כ"ץ</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7D2A6E" w:rsidRDefault="00325B48" w:rsidP="00D67E52">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325B48" w:rsidRDefault="00E37856">
            <w:pPr>
              <w:rPr>
                <w:rFonts w:ascii="Arial" w:hAnsi="Arial"/>
                <w:b/>
                <w:bCs/>
                <w:noProof w:val="0"/>
                <w:sz w:val="26"/>
                <w:szCs w:val="26"/>
                <w:rtl/>
              </w:rPr>
            </w:pPr>
            <w:r>
              <w:rPr>
                <w:rFonts w:hint="cs"/>
                <w:b/>
                <w:bCs/>
                <w:noProof w:val="0"/>
                <w:sz w:val="28"/>
                <w:rtl/>
              </w:rPr>
              <w:t>פלוני</w:t>
            </w:r>
          </w:p>
          <w:p w:rsidR="006816EC" w:rsidRDefault="00325B48">
            <w:pPr>
              <w:rPr>
                <w:rFonts w:ascii="Arial (W1)" w:hAnsi="Arial (W1)"/>
                <w:b/>
                <w:bCs/>
                <w:noProof w:val="0"/>
                <w:sz w:val="28"/>
                <w:szCs w:val="28"/>
              </w:rPr>
            </w:pPr>
            <w:r>
              <w:rPr>
                <w:rFonts w:ascii="Arial" w:hAnsi="Arial"/>
                <w:b/>
                <w:bCs/>
                <w:noProof w:val="0"/>
                <w:sz w:val="26"/>
                <w:szCs w:val="26"/>
                <w:rtl/>
              </w:rPr>
              <w:t>ע"י ב"כ עוה"</w:t>
            </w:r>
            <w:r>
              <w:rPr>
                <w:rFonts w:ascii="Arial" w:hAnsi="Arial" w:hint="cs"/>
                <w:b/>
                <w:bCs/>
                <w:noProof w:val="0"/>
                <w:sz w:val="26"/>
                <w:szCs w:val="26"/>
                <w:rtl/>
              </w:rPr>
              <w:t>ד שרון אביב שוחט</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44DDF" w:rsidP="00325B48">
            <w:pPr>
              <w:rPr>
                <w:rFonts w:ascii="Arial (W1)" w:hAnsi="Arial (W1)"/>
                <w:b/>
                <w:bCs/>
                <w:noProof w:val="0"/>
                <w:sz w:val="28"/>
                <w:szCs w:val="28"/>
              </w:rPr>
            </w:pPr>
            <w:r>
              <w:rPr>
                <w:rFonts w:hint="cs"/>
                <w:b/>
                <w:bCs/>
                <w:noProof w:val="0"/>
                <w:sz w:val="28"/>
                <w:rtl/>
              </w:rPr>
              <w:t>נתבע</w:t>
            </w:r>
            <w:r w:rsidR="00325B48">
              <w:rPr>
                <w:rFonts w:hint="cs"/>
                <w:b/>
                <w:bCs/>
                <w:noProof w:val="0"/>
                <w:sz w:val="28"/>
                <w:rtl/>
              </w:rPr>
              <w:t>ת</w:t>
            </w:r>
          </w:p>
        </w:tc>
        <w:tc>
          <w:tcPr>
            <w:tcW w:w="5571" w:type="dxa"/>
          </w:tcPr>
          <w:p w:rsidR="006816EC" w:rsidRDefault="006816EC">
            <w:pPr>
              <w:rPr>
                <w:rFonts w:ascii="Arial (W1)" w:hAnsi="Arial (W1)"/>
                <w:b/>
                <w:bCs/>
                <w:noProof w:val="0"/>
                <w:sz w:val="28"/>
                <w:szCs w:val="28"/>
                <w:rtl/>
              </w:rPr>
            </w:pPr>
          </w:p>
          <w:p w:rsidR="00325B48" w:rsidRDefault="00D67E52">
            <w:pPr>
              <w:rPr>
                <w:rFonts w:ascii="Arial" w:hAnsi="Arial"/>
                <w:b/>
                <w:bCs/>
                <w:noProof w:val="0"/>
                <w:sz w:val="26"/>
                <w:szCs w:val="26"/>
                <w:rtl/>
              </w:rPr>
            </w:pPr>
            <w:r>
              <w:rPr>
                <w:rFonts w:hint="cs"/>
                <w:b/>
                <w:bCs/>
                <w:noProof w:val="0"/>
                <w:sz w:val="28"/>
                <w:rtl/>
              </w:rPr>
              <w:t>פלונית</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325B48">
              <w:rPr>
                <w:rFonts w:ascii="Arial" w:hAnsi="Arial" w:hint="cs"/>
                <w:b/>
                <w:bCs/>
                <w:noProof w:val="0"/>
                <w:sz w:val="26"/>
                <w:szCs w:val="26"/>
                <w:rtl/>
              </w:rPr>
              <w:t xml:space="preserve"> כרמל מזוז</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25B48" w:rsidRDefault="00325B48" w:rsidP="00325B48">
      <w:pPr>
        <w:tabs>
          <w:tab w:val="left" w:pos="0"/>
        </w:tabs>
        <w:spacing w:before="240" w:after="240" w:line="360" w:lineRule="auto"/>
        <w:jc w:val="both"/>
        <w:rPr>
          <w:rFonts w:ascii="David" w:hAnsi="David"/>
          <w:noProof w:val="0"/>
        </w:rPr>
      </w:pPr>
      <w:r>
        <w:rPr>
          <w:rFonts w:ascii="David" w:hAnsi="David"/>
          <w:rtl/>
        </w:rPr>
        <w:t>לפני תובענה להפחתת מזונות ילדיהם הקטינים של הצדדים, אשר הוגשה על ידי התובע, האב (להלן: "</w:t>
      </w:r>
      <w:r>
        <w:rPr>
          <w:rFonts w:ascii="David" w:hAnsi="David"/>
          <w:b/>
          <w:bCs/>
          <w:rtl/>
        </w:rPr>
        <w:t>התובע</w:t>
      </w:r>
      <w:r>
        <w:rPr>
          <w:rFonts w:ascii="David" w:hAnsi="David"/>
          <w:rtl/>
        </w:rPr>
        <w:t>" ו/או "</w:t>
      </w:r>
      <w:r>
        <w:rPr>
          <w:rFonts w:ascii="David" w:hAnsi="David"/>
          <w:b/>
          <w:bCs/>
          <w:rtl/>
        </w:rPr>
        <w:t>האב</w:t>
      </w:r>
      <w:r>
        <w:rPr>
          <w:rFonts w:ascii="David" w:hAnsi="David"/>
          <w:rtl/>
        </w:rPr>
        <w:t>") כנגד האם (להלן: "</w:t>
      </w:r>
      <w:r>
        <w:rPr>
          <w:rFonts w:ascii="David" w:hAnsi="David"/>
          <w:b/>
          <w:bCs/>
          <w:rtl/>
        </w:rPr>
        <w:t>הנתבעת</w:t>
      </w:r>
      <w:r>
        <w:rPr>
          <w:rFonts w:ascii="David" w:hAnsi="David"/>
          <w:rtl/>
        </w:rPr>
        <w:t>" ו/או "</w:t>
      </w:r>
      <w:r>
        <w:rPr>
          <w:rFonts w:ascii="David" w:hAnsi="David"/>
          <w:b/>
          <w:bCs/>
          <w:rtl/>
        </w:rPr>
        <w:t>האם</w:t>
      </w:r>
      <w:r>
        <w:rPr>
          <w:rFonts w:ascii="David" w:hAnsi="David"/>
          <w:rtl/>
        </w:rPr>
        <w:t xml:space="preserve">"). </w:t>
      </w:r>
    </w:p>
    <w:p w:rsidR="00325B48" w:rsidRDefault="00325B48" w:rsidP="00325B48">
      <w:pPr>
        <w:tabs>
          <w:tab w:val="left" w:pos="567"/>
        </w:tabs>
        <w:spacing w:before="240" w:after="240" w:line="360" w:lineRule="auto"/>
        <w:ind w:left="567" w:hanging="567"/>
        <w:jc w:val="both"/>
        <w:rPr>
          <w:rFonts w:ascii="David" w:hAnsi="David"/>
          <w:b/>
          <w:bCs/>
          <w:u w:val="single"/>
          <w:rtl/>
        </w:rPr>
      </w:pPr>
    </w:p>
    <w:p w:rsidR="00325B48" w:rsidRDefault="00325B48" w:rsidP="00325B48">
      <w:pPr>
        <w:tabs>
          <w:tab w:val="left" w:pos="567"/>
        </w:tabs>
        <w:spacing w:before="240" w:after="240" w:line="360" w:lineRule="auto"/>
        <w:ind w:left="567" w:hanging="567"/>
        <w:jc w:val="both"/>
        <w:rPr>
          <w:rFonts w:ascii="David" w:hAnsi="David"/>
          <w:rtl/>
        </w:rPr>
      </w:pPr>
      <w:r>
        <w:rPr>
          <w:rFonts w:ascii="David" w:hAnsi="David"/>
          <w:b/>
          <w:bCs/>
          <w:u w:val="single"/>
          <w:rtl/>
        </w:rPr>
        <w:t>רקע עובדתי ודיוני</w:t>
      </w:r>
    </w:p>
    <w:p w:rsidR="00325B48" w:rsidRDefault="00325B48" w:rsidP="00E3785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הצדדים, שניהם יהודים, נשאו כדמו"י בשנת 2004 והתגרשו בשנת 2012. מנישואיהם, נולדו לצדדים הקטינים: </w:t>
      </w:r>
      <w:r w:rsidR="00E37856">
        <w:rPr>
          <w:rFonts w:ascii="David" w:hAnsi="David" w:cs="David" w:hint="cs"/>
          <w:sz w:val="24"/>
          <w:szCs w:val="24"/>
          <w:rtl/>
        </w:rPr>
        <w:t>ל'</w:t>
      </w:r>
      <w:r>
        <w:rPr>
          <w:rFonts w:ascii="David" w:hAnsi="David" w:cs="David"/>
          <w:sz w:val="24"/>
          <w:szCs w:val="24"/>
          <w:rtl/>
        </w:rPr>
        <w:t xml:space="preserve"> יליד </w:t>
      </w:r>
      <w:r w:rsidR="00E37856">
        <w:rPr>
          <w:rFonts w:ascii="David" w:hAnsi="David" w:cs="David" w:hint="cs"/>
          <w:sz w:val="24"/>
          <w:szCs w:val="24"/>
          <w:rtl/>
        </w:rPr>
        <w:t xml:space="preserve">2005 </w:t>
      </w:r>
      <w:r>
        <w:rPr>
          <w:rFonts w:ascii="David" w:hAnsi="David" w:cs="David"/>
          <w:sz w:val="24"/>
          <w:szCs w:val="24"/>
          <w:rtl/>
        </w:rPr>
        <w:t xml:space="preserve">(כבן 18) </w:t>
      </w:r>
      <w:r w:rsidR="00E37856">
        <w:rPr>
          <w:rFonts w:ascii="David" w:hAnsi="David" w:cs="David" w:hint="cs"/>
          <w:sz w:val="24"/>
          <w:szCs w:val="24"/>
          <w:rtl/>
        </w:rPr>
        <w:t>ו-נ'</w:t>
      </w:r>
      <w:r>
        <w:rPr>
          <w:rFonts w:ascii="David" w:hAnsi="David" w:cs="David"/>
          <w:sz w:val="24"/>
          <w:szCs w:val="24"/>
          <w:rtl/>
        </w:rPr>
        <w:t xml:space="preserve">, יליד </w:t>
      </w:r>
      <w:r w:rsidR="00E37856">
        <w:rPr>
          <w:rFonts w:ascii="David" w:hAnsi="David" w:cs="David" w:hint="cs"/>
          <w:sz w:val="24"/>
          <w:szCs w:val="24"/>
          <w:rtl/>
        </w:rPr>
        <w:t>2008</w:t>
      </w:r>
      <w:r>
        <w:rPr>
          <w:rFonts w:ascii="David" w:hAnsi="David" w:cs="David"/>
          <w:sz w:val="24"/>
          <w:szCs w:val="24"/>
          <w:rtl/>
        </w:rPr>
        <w:t xml:space="preserve"> (כבן 14).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האם עובדת כמורה במשרד החינוך והאב סוהר בשירות בתי הסוהר.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בין הצדדים התגלע משבר והצדדים ניהלו הליכים משפטיים שונים בעניינם של הקטינים, מזונותיהם וחלוקת הרכוש.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ביום 30.4.2013 ניתן פסק דינו של כב' השופט אלון גביזון בתמ"ש 7682-07-11, המסדיר את סוגיית מזונות הקטינים (להלן: "</w:t>
      </w:r>
      <w:r>
        <w:rPr>
          <w:rFonts w:ascii="David" w:hAnsi="David" w:cs="David"/>
          <w:b/>
          <w:bCs/>
          <w:sz w:val="24"/>
          <w:szCs w:val="24"/>
          <w:rtl/>
        </w:rPr>
        <w:t>פסק הדין</w:t>
      </w:r>
      <w:r>
        <w:rPr>
          <w:rFonts w:ascii="David" w:hAnsi="David" w:cs="David"/>
          <w:sz w:val="24"/>
          <w:szCs w:val="24"/>
          <w:rtl/>
        </w:rPr>
        <w:t xml:space="preserve">"), לפיו האב ישלם למזונותיהם של הקטינים לרבות מדורם ואחזקת מדורם, סך של 4,300 ₪ (2,150 ₪ עבור כל קטין), עד הגיע כל קטין לגיל 18 שנים ו/או עד לסיום לימודיו התיכוניים, עפ"י המאוחר בין השניים; במהלך השירות הצבאי החובה ו/או שירות לאומי יעמדו מזונותיו של כל ילד על שליש מהסכום האמור; כן חוייב האב במחצית מהוצאות החינוך של הקטינים ומחצית הוצאות רפואיות חריגות. </w:t>
      </w:r>
    </w:p>
    <w:p w:rsidR="00325B48" w:rsidRDefault="004B0926" w:rsidP="00325B48">
      <w:pPr>
        <w:pStyle w:val="ad"/>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ab/>
      </w:r>
      <w:r w:rsidR="00325B48">
        <w:rPr>
          <w:rFonts w:ascii="David" w:hAnsi="David" w:cs="David"/>
          <w:sz w:val="24"/>
          <w:szCs w:val="24"/>
          <w:rtl/>
        </w:rPr>
        <w:t xml:space="preserve">כב' השופט גביזון מצא להעמיד את צרכיהם ההכרחיים של הקטינים על סך כולל של 4,300 ₪, על פי הפירוט הבא: 2,600 ₪ מזונות (1,300 ₪ לכל קטין); 1,200 ₪ מדור (40% מתוך 3,000 ₪ - גובה ההחזר החודשי עבור המשכנתא הרובצת על הדירה) ו- 500 ₪ אחזקת מדור (40% מכלל הוצאות אחזקת הדירה). ר' בעניין זה סעיפים 21, 23, 26, 27-28 לפסק הדין.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האב לא הסכים עם תוצאת פסק הדין והגיש ערעור (עמ"ש 25369-06-13), אשר נדחה בהמלצת בית משפט שלערעור ובהסכמת הצדדים ביום 4.12.2013.</w:t>
      </w:r>
    </w:p>
    <w:p w:rsidR="00325B48" w:rsidRDefault="004B0926"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 xml:space="preserve">במאמר מוסגר יצוין, כי חרף האמור לעיל, העיד האב בחקירתו שלא הגיש ערעור על פסק הדין מפאת חסרון כיס (ר' ש' 35-31 לפרוטוקול הדיון).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במקביל להליך המזונות לעיל (תמ"ש 7682-07-12), ניהלו הצדדים, בין היתר, גם תביעה רכושית (תמ"ש 48395-07-10) ותביעה בעניין חלוקת זמני השהות עם הקטינים (תמ"ש 13841/09).</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בגדרי דיון שהתקיים ביום 20.6.2012, אישר כב' השופט גביזון הסכם מכר בין הצדדים לפיו האם רכשה את זכויותיו של האב בדירת המגורים המשותפת (ר' פרוטוקול דיון מיום 20.6.2012 בה"ט 1771-02-12; תמ"ש 7682-07-11 ותמ"ש 13843/09).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אשר לזמני השהות עם הקטינים, הסכימו הצדדים בדיון מיום 15.7.2012, כי זמני השהות ("הסדרי ראיה", כתוארם דאז) שבין האב והקטינים יתקיימו בימי ג' בין השעות 16:00-19:00 ובכל סוף שבוע שני ובמחצית מהחגים, החל מיום שישי (או ערב החג) בשעה 14:00 ועד למחרת, שעה לאחר צאת השבת (או החג). </w:t>
      </w:r>
    </w:p>
    <w:p w:rsidR="00325B48" w:rsidRDefault="004B0926"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כן, ניתנו לעו"ס לסדרי דין, בהסכמת הצדדים, סמכויות לקביעת הסדר המפגשים שבין האב ובין הקטינים.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ביום 19.7.2021 עתרה האם בתביעה לאכיפת זמני השהות שנקבעו כאמור לעיל (תמ"ש 41047-07-21). ביום 21.12.2021 הוגש תסקיר עו"ס לסדרי דין בעניינה של התובענה, שעוד יפורט אודותיו מתוך הקשרו לדברים שיובאו בהמשך. לאחר שמיעת טענות הצדדים, ניתן פסק דין על ידי כב' השופט בן שלו, בגדרו הופנו הצדדים להדרכה הורית; ניתנו לעו"ס לסדרי דין סמכויות למשך שישה חודשים לצורך פיקוח אחר הליך הדרכה ההורית ונקבע, כי ככל שהליך ההדרכה ההורית לא יצלח, יוכלו לפעול הצדדים בהגשת תובענה מתאימה.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ביום 3.2.2022, </w:t>
      </w:r>
      <w:r>
        <w:rPr>
          <w:rFonts w:ascii="David" w:hAnsi="David" w:cs="David"/>
          <w:b/>
          <w:bCs/>
          <w:sz w:val="24"/>
          <w:szCs w:val="24"/>
          <w:rtl/>
        </w:rPr>
        <w:t>כחודש וחצי בלבד</w:t>
      </w:r>
      <w:r>
        <w:rPr>
          <w:rFonts w:ascii="David" w:hAnsi="David" w:cs="David"/>
          <w:sz w:val="24"/>
          <w:szCs w:val="24"/>
          <w:rtl/>
        </w:rPr>
        <w:t xml:space="preserve"> לאחר פסק הדין לעיל, הוגשה התובענה דנן, בגדרה עותר האב להפחתת מזונותיהם של הקטינים שנקבעו בפסק הדין.</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כבר לעת הזו יצוין, כי בסיכומיו הרחיב התובע את הסעדים הנתבעים על ידו ועתר "לבטל את חיובו האבסולוטי במזונות בטענה לשינוי נסיבות ואף לחייב את הנתבעת גם היא להשתתף במזונות בגין הזמנים שהקטינים שוהים עמו במסגרת ההסדרה מחדש של אופן נשיאת שני ההורים בהוצאות הקטינים" וזאת מבלי שעתר, וממילא בלא שקיבל, רשות לתקן את כתב תביעתו.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למען שלמות התמונה יצוין, לצד התביעה דנן, הוגשה מטעם האב גם תביעה כספית למתן צו המורה על השבת כספים ששילם לטענתו ביתר (תלה"מ 11159-02-22) – תביעה אשר נמחקה בהסכמת הצדדים בדיון ביום 8.6.2022, ובכפוף לסגירת הליכים בהוצאה לפועל בקשר עם עתירת האם להצמדות בגין הפרשי עבר ולביצוע הוראת קבע בחשבון האב לצורך העברת תשלומי המזונות.</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ביום 9.3.2022, הועבר התיק לטיפולי, נוכח שינויים ארגוניים בבתי המשפט למשפחה במחוז דרום, ובהנחיית הנשיא דאז, כב' השופט אלון גביזון.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יצוין, כי במהלך ההליך נערכו על ידי בית המשפט מספר ניסיונות על מנת להביא הצדדים להסכמות, לאור עצימות הקונפליקט וריבוי ההתדיינות המשפטית ובראי טובת הקטינים. למרבה הצער, ניסיונות אלה לא נשאו פרי.</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לאחר שנשמעו עדויות הצדדים, הגישו ב"כ הצדדים סיכומי טענותיהם בכתב.</w:t>
      </w:r>
    </w:p>
    <w:p w:rsidR="00325B48" w:rsidRDefault="00225AAD"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במאמר מוסגר, יצוין כי בהתאם להחלטתי מיום 22.5.2023 הוצאו סיכומי התובע מתיק בית המשפט, שעה שהוגשו בחריגה מההיקף והצורה שנקבעו בהחלטתי מיום 2.4.2023 וביום 23.5.2023 הוגש כתב סיכומים אחר תחתיו.</w:t>
      </w:r>
    </w:p>
    <w:p w:rsidR="00325B48" w:rsidRDefault="00325B48" w:rsidP="00325B48">
      <w:pPr>
        <w:tabs>
          <w:tab w:val="left" w:pos="567"/>
        </w:tabs>
        <w:spacing w:before="240" w:after="240" w:line="360" w:lineRule="auto"/>
        <w:ind w:left="567" w:hanging="567"/>
        <w:jc w:val="both"/>
        <w:rPr>
          <w:rFonts w:ascii="David" w:hAnsi="David"/>
          <w:b/>
          <w:bCs/>
          <w:u w:val="single"/>
        </w:rPr>
      </w:pPr>
    </w:p>
    <w:p w:rsidR="00325B48" w:rsidRDefault="00325B48" w:rsidP="00325B48">
      <w:pPr>
        <w:tabs>
          <w:tab w:val="left" w:pos="567"/>
        </w:tabs>
        <w:spacing w:before="240" w:after="240" w:line="360" w:lineRule="auto"/>
        <w:ind w:left="567" w:hanging="567"/>
        <w:jc w:val="both"/>
        <w:rPr>
          <w:rFonts w:ascii="David" w:hAnsi="David"/>
          <w:b/>
          <w:bCs/>
          <w:u w:val="single"/>
          <w:rtl/>
        </w:rPr>
      </w:pPr>
      <w:r>
        <w:rPr>
          <w:rFonts w:ascii="David" w:hAnsi="David"/>
          <w:b/>
          <w:bCs/>
          <w:u w:val="single"/>
          <w:rtl/>
        </w:rPr>
        <w:t>טענות הצדדים בתמצית</w:t>
      </w:r>
    </w:p>
    <w:p w:rsidR="00325B48" w:rsidRDefault="00325B48" w:rsidP="00225AAD">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לשיטת האב, יש להפחית סכום דמי המזונות שנקבעו בפסק הדין, בשל שינוי נסיבות מהותי שבא לידי ביטוי בגילאי הקטינים ובהוצאותיהם; בשיפור </w:t>
      </w:r>
      <w:r w:rsidR="00225AAD">
        <w:rPr>
          <w:rFonts w:ascii="David" w:hAnsi="David" w:cs="David"/>
          <w:sz w:val="24"/>
          <w:szCs w:val="24"/>
          <w:rtl/>
        </w:rPr>
        <w:t>במצבה הכלכלי של האם; בשינוי יחס</w:t>
      </w:r>
      <w:r w:rsidR="00225AAD">
        <w:rPr>
          <w:rFonts w:ascii="David" w:hAnsi="David" w:cs="David" w:hint="cs"/>
          <w:sz w:val="24"/>
          <w:szCs w:val="24"/>
          <w:rtl/>
        </w:rPr>
        <w:t xml:space="preserve"> </w:t>
      </w:r>
      <w:r w:rsidR="00225AAD">
        <w:rPr>
          <w:rFonts w:ascii="David" w:hAnsi="David" w:cs="David"/>
          <w:sz w:val="24"/>
          <w:szCs w:val="24"/>
          <w:rtl/>
        </w:rPr>
        <w:t>הכנסות</w:t>
      </w:r>
      <w:r>
        <w:rPr>
          <w:rFonts w:ascii="David" w:hAnsi="David" w:cs="David"/>
          <w:sz w:val="24"/>
          <w:szCs w:val="24"/>
          <w:rtl/>
        </w:rPr>
        <w:t xml:space="preserve"> הצדדים</w:t>
      </w:r>
      <w:r w:rsidR="00225AAD">
        <w:rPr>
          <w:rFonts w:ascii="David" w:hAnsi="David" w:cs="David" w:hint="cs"/>
          <w:sz w:val="24"/>
          <w:szCs w:val="24"/>
          <w:rtl/>
        </w:rPr>
        <w:t xml:space="preserve"> </w:t>
      </w:r>
      <w:r w:rsidR="00225AAD">
        <w:rPr>
          <w:rFonts w:ascii="David" w:hAnsi="David" w:cs="David"/>
          <w:sz w:val="24"/>
          <w:szCs w:val="24"/>
          <w:rtl/>
        </w:rPr>
        <w:t>לטובת האם</w:t>
      </w:r>
      <w:r w:rsidR="00225AAD">
        <w:rPr>
          <w:rFonts w:ascii="David" w:hAnsi="David" w:cs="David" w:hint="cs"/>
          <w:sz w:val="24"/>
          <w:szCs w:val="24"/>
          <w:rtl/>
        </w:rPr>
        <w:t>;</w:t>
      </w:r>
      <w:r>
        <w:rPr>
          <w:rFonts w:ascii="David" w:hAnsi="David" w:cs="David"/>
          <w:sz w:val="24"/>
          <w:szCs w:val="24"/>
          <w:rtl/>
        </w:rPr>
        <w:t xml:space="preserve"> לאור הוצאותיו הרבות של האב ועובדת היותו בזוגיות חדשה; בהרחבת זמני השהות של</w:t>
      </w:r>
      <w:r w:rsidR="00225AAD">
        <w:rPr>
          <w:rFonts w:ascii="David" w:hAnsi="David" w:cs="David"/>
          <w:sz w:val="24"/>
          <w:szCs w:val="24"/>
          <w:rtl/>
        </w:rPr>
        <w:t xml:space="preserve"> הקטינים עם האב; לאור מגורי הא</w:t>
      </w:r>
      <w:r w:rsidR="00225AAD">
        <w:rPr>
          <w:rFonts w:ascii="David" w:hAnsi="David" w:cs="David" w:hint="cs"/>
          <w:sz w:val="24"/>
          <w:szCs w:val="24"/>
          <w:rtl/>
        </w:rPr>
        <w:t>ם</w:t>
      </w:r>
      <w:r w:rsidR="00225AAD">
        <w:rPr>
          <w:rFonts w:ascii="David" w:hAnsi="David" w:cs="David"/>
          <w:sz w:val="24"/>
          <w:szCs w:val="24"/>
          <w:rtl/>
        </w:rPr>
        <w:t xml:space="preserve"> עם בן זוגה</w:t>
      </w:r>
      <w:r>
        <w:rPr>
          <w:rFonts w:ascii="David" w:hAnsi="David" w:cs="David"/>
          <w:sz w:val="24"/>
          <w:szCs w:val="24"/>
          <w:rtl/>
        </w:rPr>
        <w:t xml:space="preserve"> והשפעת הלכת בע"מ 919/15 על שיעור המזונות.</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בכתב התביעה, נטענה על ידי האב נסיבה נוספת המצדיקה לכאורה הפחתת המזונות ולפיה האם אינה נושאת בתשלומי מדור וכי על דירת המגורים בה היא מתגוררת עם הקטינים לא רובצת משכנתא. טענה זו, נזנחה על ידי האב בסיכומיו ועל כן, יש לראות את האב כמי שוויתר עליה (על משמעות זניחת טענה בסיכומים ר': ע"א 401/06 </w:t>
      </w:r>
      <w:r>
        <w:rPr>
          <w:rFonts w:ascii="David" w:hAnsi="David" w:cs="David"/>
          <w:b/>
          <w:bCs/>
          <w:sz w:val="24"/>
          <w:szCs w:val="24"/>
          <w:rtl/>
        </w:rPr>
        <w:t>מרום נ' מרום</w:t>
      </w:r>
      <w:r>
        <w:rPr>
          <w:rFonts w:ascii="David" w:hAnsi="David" w:cs="David"/>
          <w:sz w:val="24"/>
          <w:szCs w:val="24"/>
          <w:rtl/>
        </w:rPr>
        <w:t xml:space="preserve">, פ"ד כא(1) 673; ע"א 447/92 </w:t>
      </w:r>
      <w:r>
        <w:rPr>
          <w:rFonts w:ascii="David" w:hAnsi="David" w:cs="David"/>
          <w:b/>
          <w:bCs/>
          <w:sz w:val="24"/>
          <w:szCs w:val="24"/>
          <w:rtl/>
        </w:rPr>
        <w:t>הנרי רול נ' אינטרקונטיננטל קרדיט קורפריישן</w:t>
      </w:r>
      <w:r>
        <w:rPr>
          <w:rFonts w:ascii="David" w:hAnsi="David" w:cs="David"/>
          <w:sz w:val="24"/>
          <w:szCs w:val="24"/>
          <w:rtl/>
        </w:rPr>
        <w:t>, פ"ד מט(2) 102 ).</w:t>
      </w:r>
    </w:p>
    <w:p w:rsidR="00325B48" w:rsidRDefault="00225AAD"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י</w:t>
      </w:r>
      <w:r>
        <w:rPr>
          <w:rFonts w:ascii="David" w:hAnsi="David" w:cs="David" w:hint="cs"/>
          <w:sz w:val="24"/>
          <w:szCs w:val="24"/>
          <w:rtl/>
        </w:rPr>
        <w:t>י</w:t>
      </w:r>
      <w:r w:rsidR="00325B48">
        <w:rPr>
          <w:rFonts w:ascii="David" w:hAnsi="David" w:cs="David"/>
          <w:sz w:val="24"/>
          <w:szCs w:val="24"/>
          <w:rtl/>
        </w:rPr>
        <w:t>אמר, כי לא בכדי חזר בו התובע מטענתו זו, עת הנתבעת רכשה את חלקו של התובע בבית המגורים ונושאת במלוא הלוואת המשכנתא שנטלו בזמנו הצדדים במשותף.</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לאור שינוי הנסיבות המהותי כמפורט לעיל, סבור האב, כי יש לפסוק את מזונות הקטינים בהתאם להלכת</w:t>
      </w:r>
      <w:r>
        <w:rPr>
          <w:rtl/>
        </w:rPr>
        <w:t xml:space="preserve"> </w:t>
      </w:r>
      <w:r>
        <w:rPr>
          <w:rFonts w:ascii="David" w:hAnsi="David" w:cs="David"/>
          <w:sz w:val="24"/>
          <w:szCs w:val="24"/>
          <w:rtl/>
        </w:rPr>
        <w:t xml:space="preserve">בע"מ 919/15 </w:t>
      </w:r>
      <w:r>
        <w:rPr>
          <w:rFonts w:ascii="David" w:hAnsi="David" w:cs="David"/>
          <w:b/>
          <w:bCs/>
          <w:sz w:val="24"/>
          <w:szCs w:val="24"/>
          <w:rtl/>
        </w:rPr>
        <w:t>פלוני נ' פלונית</w:t>
      </w:r>
      <w:r>
        <w:rPr>
          <w:rFonts w:ascii="David" w:hAnsi="David" w:cs="David"/>
          <w:sz w:val="24"/>
          <w:szCs w:val="24"/>
          <w:rtl/>
        </w:rPr>
        <w:t xml:space="preserve"> (נבו 19.07.2017) (להלן: "בע"מ </w:t>
      </w:r>
      <w:r>
        <w:rPr>
          <w:rFonts w:ascii="David" w:hAnsi="David" w:cs="David"/>
          <w:b/>
          <w:bCs/>
          <w:sz w:val="24"/>
          <w:szCs w:val="24"/>
          <w:rtl/>
        </w:rPr>
        <w:t>919/15</w:t>
      </w:r>
      <w:r>
        <w:rPr>
          <w:rFonts w:ascii="David" w:hAnsi="David" w:cs="David"/>
          <w:sz w:val="24"/>
          <w:szCs w:val="24"/>
          <w:rtl/>
        </w:rPr>
        <w:t>"), כך ששני ההורים יהיו חבים באופן שווה במזונות הקטינים, תוך שהחלוקה ביניהם תיקבע בהתאם ליכולותיהם הכלכליות היחסיות ובשים לב לזמני השהות המתקיימים בפועל.</w:t>
      </w:r>
    </w:p>
    <w:p w:rsidR="00325B48" w:rsidRDefault="00225AAD"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 xml:space="preserve">לשיטת האב, בתביעות להפחתת / הגדלת מזונות, שמקורן בפסק דין שניתן לפני בע"מ 919/15, אומנם על התובע להוכיח קיומו של שינוי נסיבות, ואולם, על "אור הזרקורים" להיות מופנה לעצם שינוי הנסיבות ולא להיותו שינוי נסיבות מהותי.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האם התנגדה למבוקש והשיבה עניינית לכלל טענות האב בכתב ההגנה, בתצהירה ובסיכומיה. אדרש לתשובותיה במסגרת הדיון.</w:t>
      </w:r>
    </w:p>
    <w:p w:rsidR="00325B48" w:rsidRDefault="00325B48" w:rsidP="00325B48">
      <w:pPr>
        <w:tabs>
          <w:tab w:val="left" w:pos="567"/>
        </w:tabs>
        <w:spacing w:before="240" w:after="240" w:line="360" w:lineRule="auto"/>
        <w:ind w:left="567" w:hanging="567"/>
        <w:jc w:val="both"/>
        <w:rPr>
          <w:rFonts w:ascii="David" w:hAnsi="David"/>
          <w:b/>
          <w:bCs/>
          <w:u w:val="single"/>
        </w:rPr>
      </w:pPr>
    </w:p>
    <w:p w:rsidR="00325B48" w:rsidRDefault="00325B48" w:rsidP="00325B48">
      <w:pPr>
        <w:tabs>
          <w:tab w:val="left" w:pos="567"/>
        </w:tabs>
        <w:spacing w:before="240" w:after="240" w:line="360" w:lineRule="auto"/>
        <w:ind w:left="567" w:hanging="567"/>
        <w:jc w:val="both"/>
        <w:rPr>
          <w:rFonts w:ascii="David" w:hAnsi="David"/>
          <w:b/>
          <w:bCs/>
          <w:u w:val="single"/>
          <w:rtl/>
        </w:rPr>
      </w:pPr>
      <w:r>
        <w:rPr>
          <w:rFonts w:ascii="David" w:hAnsi="David"/>
          <w:b/>
          <w:bCs/>
          <w:u w:val="single"/>
          <w:rtl/>
        </w:rPr>
        <w:t>דיון והכרעה</w:t>
      </w:r>
      <w:r>
        <w:rPr>
          <w:rFonts w:ascii="David" w:hAnsi="David"/>
          <w:b/>
          <w:bCs/>
          <w:rtl/>
        </w:rPr>
        <w:t>:</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b/>
          <w:bCs/>
          <w:sz w:val="24"/>
          <w:szCs w:val="24"/>
          <w:u w:val="single"/>
          <w:rtl/>
        </w:rPr>
      </w:pPr>
      <w:r>
        <w:rPr>
          <w:rFonts w:ascii="David" w:hAnsi="David" w:cs="David"/>
          <w:sz w:val="24"/>
          <w:szCs w:val="24"/>
          <w:rtl/>
        </w:rPr>
        <w:t xml:space="preserve">מושכלות יסוד הן, כי פסק דין למזונות אינו מהווה מעשה בית דין וכי מקום שאירע שינוי נסיבות מהותי ניתן לעיין בפסק הדין מחדש (ר'  ע"א 363/81 </w:t>
      </w:r>
      <w:r>
        <w:rPr>
          <w:rFonts w:ascii="David" w:hAnsi="David" w:cs="David"/>
          <w:b/>
          <w:bCs/>
          <w:sz w:val="24"/>
          <w:szCs w:val="24"/>
          <w:rtl/>
        </w:rPr>
        <w:t>יואכים (יהויכין) פייגה נ' רועי ברנרד פייגה</w:t>
      </w:r>
      <w:r>
        <w:rPr>
          <w:rFonts w:ascii="David" w:hAnsi="David" w:cs="David"/>
          <w:sz w:val="24"/>
          <w:szCs w:val="24"/>
          <w:rtl/>
        </w:rPr>
        <w:t>, לו(3) 187 (1982)</w:t>
      </w:r>
      <w:r>
        <w:rPr>
          <w:rFonts w:ascii="David" w:hAnsi="David" w:cs="David"/>
          <w:b/>
          <w:bCs/>
          <w:sz w:val="24"/>
          <w:szCs w:val="24"/>
          <w:rtl/>
        </w:rPr>
        <w:t xml:space="preserve">) </w:t>
      </w:r>
      <w:r>
        <w:rPr>
          <w:rFonts w:ascii="David" w:hAnsi="David" w:cs="David"/>
          <w:sz w:val="24"/>
          <w:szCs w:val="24"/>
          <w:rtl/>
        </w:rPr>
        <w:t>ולבחון את פסיקת המזונות דה נובו בהתאם</w:t>
      </w:r>
      <w:r>
        <w:rPr>
          <w:rtl/>
        </w:rPr>
        <w:t xml:space="preserve"> </w:t>
      </w:r>
      <w:r>
        <w:rPr>
          <w:rFonts w:ascii="David" w:hAnsi="David" w:cs="David"/>
          <w:sz w:val="24"/>
          <w:szCs w:val="24"/>
          <w:rtl/>
        </w:rPr>
        <w:t>להלכה הקיימת לרבות ה</w:t>
      </w:r>
      <w:bookmarkStart w:id="0" w:name="_GoBack"/>
      <w:bookmarkEnd w:id="0"/>
      <w:r>
        <w:rPr>
          <w:rFonts w:ascii="David" w:hAnsi="David" w:cs="David"/>
          <w:sz w:val="24"/>
          <w:szCs w:val="24"/>
          <w:rtl/>
        </w:rPr>
        <w:t xml:space="preserve">עקרונות והכללים שהותוו במסגרת בע"מ 919/15.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ההלכה הקובעת לעניין שינוי מזונות היא, כי רק שינוי נסיבות מהותי מצדיק הקטנת או הגדלת דמי המזונות, כאשר על הצד העותר לשינוי דמי המזונות מוטל הנטל להוכיח כי חל שינוי שלא ניתן היה לצפותו מראש. יש לפרש את המושג "שינוי נסיבות" באופן דווקני, על מנת שלא להפר את האיזון בין סופיות הדיון למצבי החיים המשתנים (בע"מ 3148/07 </w:t>
      </w:r>
      <w:r>
        <w:rPr>
          <w:rFonts w:ascii="David" w:hAnsi="David" w:cs="David"/>
          <w:b/>
          <w:bCs/>
          <w:sz w:val="24"/>
          <w:szCs w:val="24"/>
          <w:rtl/>
        </w:rPr>
        <w:t>פלונית נ' פלוני</w:t>
      </w:r>
      <w:r>
        <w:rPr>
          <w:rFonts w:ascii="David" w:hAnsi="David" w:cs="David"/>
          <w:sz w:val="24"/>
          <w:szCs w:val="24"/>
          <w:rtl/>
        </w:rPr>
        <w:t xml:space="preserve"> (פורסם במאגרים, (פורסם בנבו), 2007)).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רק שינוי משמעותי בנסיבות ששררו בעת מתן פסק הדין המקורי למזונות, יצדיק את השינוי בשיעור המזונות וזאת מאחר שפסק דין בעניין מזונותיהם של קטינים צופה פני עתיד, מטבעו (ע"א 177/81 </w:t>
      </w:r>
      <w:r>
        <w:rPr>
          <w:rFonts w:ascii="David" w:hAnsi="David" w:cs="David"/>
          <w:b/>
          <w:bCs/>
          <w:sz w:val="24"/>
          <w:szCs w:val="24"/>
          <w:rtl/>
        </w:rPr>
        <w:t>גלעדי נ' גלעדי</w:t>
      </w:r>
      <w:r>
        <w:rPr>
          <w:rFonts w:ascii="David" w:hAnsi="David" w:cs="David"/>
          <w:sz w:val="24"/>
          <w:szCs w:val="24"/>
          <w:rtl/>
        </w:rPr>
        <w:t xml:space="preserve"> פ"ד לו(3) 179, ע"א 552/83 </w:t>
      </w:r>
      <w:r>
        <w:rPr>
          <w:rFonts w:ascii="David" w:hAnsi="David" w:cs="David"/>
          <w:b/>
          <w:bCs/>
          <w:sz w:val="24"/>
          <w:szCs w:val="24"/>
          <w:rtl/>
        </w:rPr>
        <w:t>מבורך נ' מבורך</w:t>
      </w:r>
      <w:r>
        <w:rPr>
          <w:rFonts w:ascii="David" w:hAnsi="David" w:cs="David"/>
          <w:sz w:val="24"/>
          <w:szCs w:val="24"/>
          <w:rtl/>
        </w:rPr>
        <w:t xml:space="preserve"> פ"ד לח(1) 526).</w:t>
      </w:r>
    </w:p>
    <w:p w:rsidR="00325B48" w:rsidRDefault="0064231E" w:rsidP="00325B48">
      <w:pPr>
        <w:pStyle w:val="ad"/>
        <w:tabs>
          <w:tab w:val="left" w:pos="567"/>
        </w:tabs>
        <w:spacing w:before="240" w:after="240" w:line="360" w:lineRule="auto"/>
        <w:ind w:left="567" w:hanging="567"/>
        <w:contextualSpacing w:val="0"/>
        <w:jc w:val="both"/>
        <w:rPr>
          <w:rFonts w:ascii="David" w:hAnsi="David" w:cs="David"/>
          <w:b/>
          <w:bCs/>
          <w:sz w:val="24"/>
          <w:szCs w:val="24"/>
          <w:u w:val="single"/>
        </w:rPr>
      </w:pPr>
      <w:r>
        <w:rPr>
          <w:rFonts w:ascii="David" w:hAnsi="David" w:cs="David"/>
          <w:sz w:val="24"/>
          <w:szCs w:val="24"/>
          <w:rtl/>
        </w:rPr>
        <w:tab/>
      </w:r>
      <w:r w:rsidR="00325B48">
        <w:rPr>
          <w:rFonts w:ascii="David" w:hAnsi="David" w:cs="David"/>
          <w:sz w:val="24"/>
          <w:szCs w:val="24"/>
          <w:rtl/>
        </w:rPr>
        <w:t xml:space="preserve">הוכחת השינוי המדובר מבוססת על יסודות עובדתיים שיש לתמוך במסמכים וראיות (ר' ע"א 442/83 </w:t>
      </w:r>
      <w:r w:rsidR="00325B48">
        <w:rPr>
          <w:rFonts w:ascii="David" w:hAnsi="David" w:cs="David"/>
          <w:b/>
          <w:bCs/>
          <w:sz w:val="24"/>
          <w:szCs w:val="24"/>
          <w:rtl/>
        </w:rPr>
        <w:t>משה קם נ' דבורה קם</w:t>
      </w:r>
      <w:r w:rsidR="00325B48">
        <w:rPr>
          <w:rFonts w:ascii="David" w:hAnsi="David" w:cs="David"/>
          <w:sz w:val="24"/>
          <w:szCs w:val="24"/>
          <w:rtl/>
        </w:rPr>
        <w:t xml:space="preserve">, לח(1) 767 (1984), כאשר אין לצאת מתוך הנחה כי כל שינוי נסיבות מביא לשינוי אוטומטי של דמי המזונות (ר' ע"א 1880/94 </w:t>
      </w:r>
      <w:r w:rsidR="00325B48">
        <w:rPr>
          <w:rFonts w:ascii="David" w:hAnsi="David" w:cs="David"/>
          <w:b/>
          <w:bCs/>
          <w:sz w:val="24"/>
          <w:szCs w:val="24"/>
          <w:rtl/>
        </w:rPr>
        <w:t>רחל קטן נ' אלי קטן</w:t>
      </w:r>
      <w:r w:rsidR="00325B48">
        <w:rPr>
          <w:rFonts w:ascii="David" w:hAnsi="David" w:cs="David"/>
          <w:sz w:val="24"/>
          <w:szCs w:val="24"/>
          <w:rtl/>
        </w:rPr>
        <w:t>, מט(1) 215 (1995).</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צא ולמד, כי על מבקש שינוי פסק הדין המקורי למזונות, להוכיח התקיימותם של שלושה תנאים מצטברים: </w:t>
      </w:r>
      <w:r>
        <w:rPr>
          <w:rFonts w:ascii="David" w:hAnsi="David" w:cs="David"/>
          <w:b/>
          <w:bCs/>
          <w:sz w:val="24"/>
          <w:szCs w:val="24"/>
          <w:u w:val="single"/>
          <w:rtl/>
        </w:rPr>
        <w:t>שינוי נסיבות מהותי</w:t>
      </w:r>
      <w:r>
        <w:rPr>
          <w:rFonts w:ascii="David" w:hAnsi="David" w:cs="David"/>
          <w:b/>
          <w:bCs/>
          <w:sz w:val="24"/>
          <w:szCs w:val="24"/>
          <w:rtl/>
        </w:rPr>
        <w:t>,</w:t>
      </w:r>
      <w:r>
        <w:rPr>
          <w:rFonts w:ascii="David" w:hAnsi="David" w:cs="David"/>
          <w:sz w:val="24"/>
          <w:szCs w:val="24"/>
          <w:rtl/>
        </w:rPr>
        <w:t xml:space="preserve"> שהוא </w:t>
      </w:r>
      <w:r>
        <w:rPr>
          <w:rFonts w:ascii="David" w:hAnsi="David" w:cs="David"/>
          <w:b/>
          <w:bCs/>
          <w:sz w:val="24"/>
          <w:szCs w:val="24"/>
          <w:u w:val="single"/>
          <w:rtl/>
        </w:rPr>
        <w:t>בלתי צפוי</w:t>
      </w:r>
      <w:r>
        <w:rPr>
          <w:rFonts w:ascii="David" w:hAnsi="David" w:cs="David"/>
          <w:sz w:val="24"/>
          <w:szCs w:val="24"/>
          <w:rtl/>
        </w:rPr>
        <w:t xml:space="preserve"> ההופך את חיוב המזונות הקיים </w:t>
      </w:r>
      <w:r>
        <w:rPr>
          <w:rFonts w:ascii="David" w:hAnsi="David" w:cs="David"/>
          <w:b/>
          <w:bCs/>
          <w:sz w:val="24"/>
          <w:szCs w:val="24"/>
          <w:u w:val="single"/>
          <w:rtl/>
        </w:rPr>
        <w:t>לבלתי צודק</w:t>
      </w:r>
      <w:r>
        <w:rPr>
          <w:rFonts w:ascii="David" w:hAnsi="David" w:cs="David"/>
          <w:sz w:val="24"/>
          <w:szCs w:val="24"/>
          <w:rtl/>
        </w:rPr>
        <w:t xml:space="preserve"> ומצדיק  דיון מחדש בחיוב המזונות</w:t>
      </w:r>
      <w:r>
        <w:rPr>
          <w:rFonts w:ascii="David" w:hAnsi="David" w:cs="David"/>
          <w:b/>
          <w:bCs/>
          <w:sz w:val="24"/>
          <w:szCs w:val="24"/>
          <w:rtl/>
        </w:rPr>
        <w:t xml:space="preserve"> </w:t>
      </w:r>
      <w:r>
        <w:rPr>
          <w:rFonts w:ascii="David" w:hAnsi="David" w:cs="David"/>
          <w:sz w:val="24"/>
          <w:szCs w:val="24"/>
          <w:rtl/>
        </w:rPr>
        <w:t xml:space="preserve">(ר' לעניין זה גם תלה"מ (משפחה ירושלים) 64065-11-19 </w:t>
      </w:r>
      <w:r>
        <w:rPr>
          <w:rFonts w:ascii="David" w:hAnsi="David" w:cs="David"/>
          <w:b/>
          <w:bCs/>
          <w:sz w:val="24"/>
          <w:szCs w:val="24"/>
          <w:rtl/>
        </w:rPr>
        <w:t>האב נ' האם</w:t>
      </w:r>
      <w:r>
        <w:rPr>
          <w:rFonts w:ascii="David" w:hAnsi="David" w:cs="David"/>
          <w:sz w:val="24"/>
          <w:szCs w:val="24"/>
          <w:rtl/>
        </w:rPr>
        <w:t xml:space="preserve"> (נבו 18.10.2021)).</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b/>
          <w:bCs/>
          <w:sz w:val="24"/>
          <w:szCs w:val="24"/>
          <w:u w:val="single"/>
        </w:rPr>
      </w:pPr>
      <w:r>
        <w:rPr>
          <w:rFonts w:ascii="David" w:hAnsi="David" w:cs="David"/>
          <w:sz w:val="24"/>
          <w:szCs w:val="24"/>
          <w:rtl/>
        </w:rPr>
        <w:t xml:space="preserve">פסק הדין המקורי מהווה נקודת המוצא במסגרת הדיון בתביעה להגדלה או הפחתת מזונות. בתביעה לשינוי נסיבות, בית המשפט אינו בודק לכתחילה את צרכי הילדים ויכולת החייב, אלא שוקל אך ורק את השינוי המהותי הנטען מעת מתן פסק הדין (ר' גריידי ושלם מזונות ילדים הלכה למעשה חלק שני בעמ' 285 וההפניות שם: תמ"ש (משפחה תל אביב-יפו) 48694/00 </w:t>
      </w:r>
      <w:r>
        <w:rPr>
          <w:rFonts w:ascii="David" w:hAnsi="David" w:cs="David"/>
          <w:b/>
          <w:bCs/>
          <w:sz w:val="24"/>
          <w:szCs w:val="24"/>
          <w:rtl/>
        </w:rPr>
        <w:t xml:space="preserve">ה.א נ' ה.ו.ר </w:t>
      </w:r>
      <w:r>
        <w:rPr>
          <w:rFonts w:ascii="David" w:hAnsi="David" w:cs="David"/>
          <w:sz w:val="24"/>
          <w:szCs w:val="24"/>
          <w:rtl/>
        </w:rPr>
        <w:t xml:space="preserve">(נבו 28.01.2009), תמ"ש (משפחה תל אביב-יפו) 52946/97 </w:t>
      </w:r>
      <w:r>
        <w:rPr>
          <w:rFonts w:ascii="David" w:hAnsi="David" w:cs="David"/>
          <w:b/>
          <w:bCs/>
          <w:sz w:val="24"/>
          <w:szCs w:val="24"/>
          <w:rtl/>
        </w:rPr>
        <w:t>ג.א נ' ג.ב.א</w:t>
      </w:r>
      <w:r>
        <w:rPr>
          <w:rFonts w:ascii="David" w:hAnsi="David" w:cs="David"/>
          <w:sz w:val="24"/>
          <w:szCs w:val="24"/>
          <w:rtl/>
        </w:rPr>
        <w:t xml:space="preserve"> (נבו 30.03.2009).</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b/>
          <w:bCs/>
          <w:sz w:val="24"/>
          <w:szCs w:val="24"/>
          <w:u w:val="single"/>
        </w:rPr>
      </w:pPr>
      <w:r>
        <w:rPr>
          <w:rFonts w:ascii="David" w:hAnsi="David" w:cs="David"/>
          <w:sz w:val="24"/>
          <w:szCs w:val="24"/>
          <w:rtl/>
        </w:rPr>
        <w:t>שינוי נסיבות יכול שיהא באחד מרכיבים אלו: עצם החיוב, שיעור החיוב, צרכי הזכאי, יכולת החייב, יכולת ההורה המשמורן ורכושו של הקטין (ר' לעניין זה ספרם של גריידי ושלם לעיל, בעמ' 283).</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אשר להשפעת הלכת בע"מ 919/15 על מבחן שינוי הנסיבות – לאור חוסר האחידות ואי הבהירות בפסיקת בתי המשפט בסוגיית תחולתה של הלכת בע"מ 919/15 על תביעות לשינוי שיעור המזונות שנקבעו בפסק דין חלוט, טרם נפסקה ההלכה, שב בית המשפט העליון ואשרר את הצורך בקיומו של שינוי מהותי בנסיבות כדי להצדיק דיון מחודש בחיוב מזונות בפסק דין חלוט, תוך שהובהר כי השינוי בהלכת בע"מ 919/15, אינו מהווה שינוי נסיבות המצדיק שינוי בגובה המזונות ונדחה גם הניסיון למצוא פתרון ביניים מרוכך, כזה שיאפשר לבית המשפט להסתפק בשינוי נסיבות קל, כדי לשוב ולדון בגובה מזונות ילדים, לאחר שינוי ההלכה:</w:t>
      </w:r>
    </w:p>
    <w:p w:rsidR="00325B48" w:rsidRDefault="0064231E"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 xml:space="preserve">"הלכת בע"מ 919/15 [פורסם בנבו] אינה מהווה עילה לפתיחת הליכי מזונות חלוטים. זאת ועוד, אין בהלכת בע"מ 919/15 כדי לשנות, לרכך או להשפיע על מבחן שינוי הנסיבות המהותי בתביעות להפחתת מזונות שנקבעו – בין בפסק דין חלוט שאישר הסכם כולל או הסכם קונקרטי, ובין בפסק דין חלוט שניתן לאחר הליך משפטי – טרם שנפסקה הלכה זו." (ר' בע"מ 7670/18 </w:t>
      </w:r>
      <w:r w:rsidR="00325B48">
        <w:rPr>
          <w:rFonts w:ascii="David" w:hAnsi="David" w:cs="David"/>
          <w:b/>
          <w:bCs/>
          <w:sz w:val="24"/>
          <w:szCs w:val="24"/>
          <w:rtl/>
        </w:rPr>
        <w:t>פלונית נ' פלוני</w:t>
      </w:r>
      <w:r w:rsidR="00325B48">
        <w:rPr>
          <w:rFonts w:ascii="David" w:hAnsi="David" w:cs="David"/>
          <w:sz w:val="24"/>
          <w:szCs w:val="24"/>
          <w:rtl/>
        </w:rPr>
        <w:t xml:space="preserve"> (נבו 20.01.2021), פסקה 14 לפסק דינו של כב' השופט הנדל).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כפי שיפורט להלן, לא מצאתי כי עלה בידי האב להרים הנטל המוגבר המוטל עליו להוכיח, כי חל שינוי נסיבות מהותי בין המועד בו ניתן פסק דין ובין המועד בו הוגשה התובענה ובכלל. כן, לא עמד האב בתנאים המצטברים שנקבעו בפסיקה ומצדיקים קבלת התביעה ושינוי גובהם של דמי המזונות שנקבעו.</w:t>
      </w:r>
    </w:p>
    <w:p w:rsidR="00325B48" w:rsidRDefault="00325B48" w:rsidP="00325B48">
      <w:pPr>
        <w:pStyle w:val="ad"/>
        <w:tabs>
          <w:tab w:val="left" w:pos="567"/>
        </w:tabs>
        <w:spacing w:before="240" w:after="240" w:line="360" w:lineRule="auto"/>
        <w:ind w:left="567" w:hanging="567"/>
        <w:contextualSpacing w:val="0"/>
        <w:jc w:val="both"/>
        <w:rPr>
          <w:rFonts w:ascii="David" w:hAnsi="David" w:cs="David"/>
          <w:sz w:val="24"/>
          <w:szCs w:val="24"/>
          <w:rtl/>
        </w:rPr>
      </w:pPr>
    </w:p>
    <w:p w:rsidR="00313052" w:rsidRDefault="00313052" w:rsidP="00325B48">
      <w:pPr>
        <w:pStyle w:val="ad"/>
        <w:tabs>
          <w:tab w:val="left" w:pos="567"/>
        </w:tabs>
        <w:spacing w:before="240" w:after="240" w:line="360" w:lineRule="auto"/>
        <w:ind w:left="567" w:hanging="567"/>
        <w:contextualSpacing w:val="0"/>
        <w:jc w:val="both"/>
        <w:rPr>
          <w:rFonts w:ascii="David" w:hAnsi="David" w:cs="David"/>
          <w:sz w:val="24"/>
          <w:szCs w:val="24"/>
        </w:rPr>
      </w:pPr>
    </w:p>
    <w:p w:rsidR="00325B48" w:rsidRDefault="00325B48" w:rsidP="00325B48">
      <w:pPr>
        <w:tabs>
          <w:tab w:val="left" w:pos="567"/>
        </w:tabs>
        <w:spacing w:before="240" w:after="240" w:line="360" w:lineRule="auto"/>
        <w:ind w:left="567" w:hanging="567"/>
        <w:jc w:val="both"/>
        <w:rPr>
          <w:rFonts w:ascii="David" w:hAnsi="David"/>
          <w:u w:val="single"/>
        </w:rPr>
      </w:pPr>
      <w:r>
        <w:rPr>
          <w:rFonts w:ascii="David" w:hAnsi="David"/>
          <w:u w:val="single"/>
          <w:rtl/>
        </w:rPr>
        <w:t>טענת התובע לשינוי נסיבות הכרוך אחר הרחבה נטענת של זמני השהות עם הקטינים</w:t>
      </w:r>
      <w:r>
        <w:rPr>
          <w:rFonts w:ascii="David" w:hAnsi="David"/>
          <w:rtl/>
        </w:rPr>
        <w:t>:</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כאמור, בדיון שהתקיים ביום 15.7.2012, הגיעו הצדדים להסכמות בעניין זמני השהות כך שבעת מתן פסק הדין, זמני השהות שבין האב והקטינים, התקיימו פעם אחת באמצע השבוע למשך שלוש שעות (ימי ג' בין השעות 16:00-19:00), ובכל סוף שבוע שני ובמחצית מהחגים, כולל לינה אחת (החל מיום שישי או ערב החג, בשעה 14:00 ועד למחרת, שעה לאחר צאת השבת או החג).</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האב הצהיר, כי מאז גירושי הצדדים, מתגורר בבית אמו ושם הוא מקיים את זמני השהות עם הקטינים. אמנם האב רכש דירה משלו, אך על פי הצהרותיו, הקטינים אינם מרגישים בנוח בביתו ומעדיפים לשהות בבית הסבתא (ר' סעיפים 9-12 לתצהיר עדותו הראשית ועמ' 10, ש' 22 -31 לחקירתו הנגדית).</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האב טוען שזמני השהות הורחבו, כך שנוסף לזמני השהות יום אחד בשבוע וכי הקטינים לנים עמו בבית אמו בשני המפגשים באמצע השבוע – 5 לילות מתוך 14, קרי השינוי הנטען הוא לתוספת של יום אחד אחר הצהריים ושני לילות באמצע השבוע (ביום ג' וביום הנוסף). כן, לטענת האב, הקטינים מבלים את רוב זמנם בבית סבתם.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האם מכחישה טענת האב בקשר עם הרחבת זמני השהות, זולת ביחס לטענה, כי המפגשים בין האב לקטינים מתקיימים בבית אמו. לטענתה, זמני השהות עם האב לא רק שלא הורחבו, אלא שהוא אף לא מקיים את זמני השהות שנקבעו כסדרם ומשכך, היא עתרה בתביעה לאכיפת זמני השהות כמפורט לעיל, שהתבררה בהליך תמ"ש 41047-07-21.</w:t>
      </w:r>
    </w:p>
    <w:p w:rsidR="00325B48" w:rsidRDefault="0064231E"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 xml:space="preserve">לצד זאת, הודתה האם בחקירתה הנגדית, כי הקטינים לנים בבית הסבתא בימי שלישי בשבוע ובערב שבת (ליל שישי) פעם בשבועיים לסירוגין (ר' עמ' 80, ש' 14 ועמ' 87, ש' 19), אך הכחישה מפגשים נוספים עם האב או עם הסבתא מעבר לימי ג' בשבוע (כולל לינה, כאמור) וכל סוף שבוע שני (ר' עמ' 80, ש' 21-28 ועמ' 87, ש' 21).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b/>
          <w:bCs/>
          <w:sz w:val="24"/>
          <w:szCs w:val="24"/>
          <w:rtl/>
        </w:rPr>
        <w:t>אם כן, הצדדים מסכימים, כי לזמני השהות שנקבעו בהסכמתם ביום 15.7.2012, נוסף לַמִּצְעָר לילה ביום ג' בשבוע</w:t>
      </w:r>
      <w:r>
        <w:rPr>
          <w:rFonts w:ascii="David" w:hAnsi="David" w:cs="David"/>
          <w:sz w:val="24"/>
          <w:szCs w:val="24"/>
          <w:rtl/>
        </w:rPr>
        <w:t xml:space="preserve">, </w:t>
      </w:r>
      <w:r>
        <w:rPr>
          <w:rFonts w:ascii="David" w:hAnsi="David" w:cs="David"/>
          <w:b/>
          <w:bCs/>
          <w:sz w:val="24"/>
          <w:szCs w:val="24"/>
          <w:rtl/>
        </w:rPr>
        <w:t>היינו אין חולק על כך כי הקטינים לנים עם האב 3 לילות מתוך 14 (ולעמדת האב – אף לילה נוסף באמצע השבוע).</w:t>
      </w:r>
    </w:p>
    <w:p w:rsidR="00325B48" w:rsidRDefault="00325B48" w:rsidP="0064231E">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בענייננו, סבורני כי השינוי בזמני השהות ש</w:t>
      </w:r>
      <w:r w:rsidR="0064231E">
        <w:rPr>
          <w:rFonts w:ascii="David" w:hAnsi="David" w:cs="David" w:hint="cs"/>
          <w:sz w:val="24"/>
          <w:szCs w:val="24"/>
          <w:rtl/>
        </w:rPr>
        <w:t xml:space="preserve">הצדדים אינם חלוקים אודותיו, קרי </w:t>
      </w:r>
      <w:r>
        <w:rPr>
          <w:rFonts w:ascii="David" w:hAnsi="David" w:cs="David"/>
          <w:sz w:val="24"/>
          <w:szCs w:val="24"/>
          <w:rtl/>
        </w:rPr>
        <w:t xml:space="preserve">הוספת הלינה בימי ג' בשבוע על זמני השהות החלים ממילא במועד זה, הוא אינו משמעותי ואינו מצדיק הפחתת שיעור המזונות וכי תוספת הלינה אינה מהווה תוספת כלכלית משמעותית, כאשר ממילא, בית הסבתא ערוך להלנת הקטינים עת הם לנים בביתה בסופי שבוע, לסירוגין.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בפסיקה נקבע לא מכבר, כי לא כל שינוי בזמני השהות של הקטינים עם מי מההורים מהווה שינוי נסיבות מהותי המצדיק שינוי שיעור המזונות ויש לבחון האם מדובר בשינוי בלתי צפוי ומה היקף השינוי שבוצע בפועל (ר' לדוגמה: תלה"מ (משפחה תל אביב-יפו) 19775-08-17 ב.ש </w:t>
      </w:r>
      <w:r>
        <w:rPr>
          <w:rFonts w:ascii="David" w:hAnsi="David" w:cs="David"/>
          <w:b/>
          <w:bCs/>
          <w:sz w:val="24"/>
          <w:szCs w:val="24"/>
          <w:rtl/>
        </w:rPr>
        <w:t>נ' ש.י.ש</w:t>
      </w:r>
      <w:r>
        <w:rPr>
          <w:rFonts w:ascii="David" w:hAnsi="David" w:cs="David"/>
          <w:sz w:val="24"/>
          <w:szCs w:val="24"/>
          <w:rtl/>
        </w:rPr>
        <w:t xml:space="preserve"> (נבו 08.05.2018); תלה"מ (משפחה אשדוד) 8581-12-20 </w:t>
      </w:r>
      <w:r>
        <w:rPr>
          <w:rFonts w:ascii="David" w:hAnsi="David" w:cs="David"/>
          <w:b/>
          <w:bCs/>
          <w:sz w:val="24"/>
          <w:szCs w:val="24"/>
          <w:rtl/>
        </w:rPr>
        <w:t>א.י נ' א.ר</w:t>
      </w:r>
      <w:r>
        <w:rPr>
          <w:rFonts w:ascii="David" w:hAnsi="David" w:cs="David"/>
          <w:sz w:val="24"/>
          <w:szCs w:val="24"/>
          <w:rtl/>
        </w:rPr>
        <w:t xml:space="preserve"> (נבו 16.04.2023).</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פרט לשינוי מינורי זה בזמני השהות, לא מצאתי כי עלה בידי האב להוכיח הרחבה של זמני השהות למתכונת של 5 לילות מתוך 14, כפי שיטתו.</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התובע לא הוכיח כי הקטינים מקיימים זמני שהות באופן סדיר, עקבי ורציף, מעבר לזמני השהות שנקבעו בהסכמת הצדדים ביום 15.7.2012 ותוספת הלינה ביום ג' כאמור.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בכתב התביעה נטען, כי </w:t>
      </w:r>
      <w:r>
        <w:rPr>
          <w:rFonts w:ascii="David" w:hAnsi="David" w:cs="David"/>
          <w:b/>
          <w:bCs/>
          <w:sz w:val="24"/>
          <w:szCs w:val="24"/>
          <w:rtl/>
        </w:rPr>
        <w:t>לעיתים</w:t>
      </w:r>
      <w:r>
        <w:rPr>
          <w:rFonts w:ascii="David" w:hAnsi="David" w:cs="David"/>
          <w:sz w:val="24"/>
          <w:szCs w:val="24"/>
          <w:rtl/>
        </w:rPr>
        <w:t xml:space="preserve"> מתקיימים בין האב לקטינים זמני שהות "גם בימי ראשון וגם שלישי, ימי חמישי והכוללים לינה ומאפשר לקטינים לישון עמו, בכל זמן פנוי האב עם הקטינים..." (ר' סעיף 22 לכתב התביעה) ובתצהיר עדותו הראשית, הצהיר האב, כי פוגש את הקטינים "כל יום שלישי וחמישי קבוע" (ר' סעיף 116 לתצהיר);</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מעבר לכך, טענות והצהרות האב לאורך ההליך ביחס להרחבת זמני השהות נאמרו בכלליות ובלא שהוצגה תמונה מפורטת וסדורה ביחס להרחבה הנטענת. ר' לדוגמה, סעיף 2 לסיכומי האב שם טען, כי הקטינים לנים בבית הסבתא "באופן קבוע, במהלך השבוע"; סעיף 11 לתצהיר עדותו הראשית שם הצהיר: "בפועל אני רואה את הילדים הרבה, כולל לינה...ישנים אצלי ימים רבים..."; סעיף 114 לתצהיר עדותו הראשית: "הקטינים לאחרונה ישנים הרבה אצלי, אצל אמא שלי בבית..." ועמ' 10, ש' 28-29 לפרוטוקול הדיון ההוכחות, שם העיד בחקירתו הנגדית, כי: "הילדים, כמעט כל השבוע, אצל אמא שלי בבית, הם מקבלים מפתחות של הבית...".</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גם אם היו פעמים שבהם לנו הקטינים בבית האב או בבית הסבתא שלא רק בימי ג' בשבוע, הרי שאין מדובר בהסדר קבוע ובכל מקרה, אין מדובר בהסדר שקיבל תוקף של החלטה שיפוטית, כאשר האב מעולם לא עתר מטעמו בתביעה להרחבת</w:t>
      </w:r>
      <w:r w:rsidR="0064231E">
        <w:rPr>
          <w:rFonts w:ascii="David" w:hAnsi="David" w:cs="David" w:hint="cs"/>
          <w:sz w:val="24"/>
          <w:szCs w:val="24"/>
          <w:rtl/>
        </w:rPr>
        <w:t>ם של</w:t>
      </w:r>
      <w:r>
        <w:rPr>
          <w:rFonts w:ascii="David" w:hAnsi="David" w:cs="David"/>
          <w:sz w:val="24"/>
          <w:szCs w:val="24"/>
          <w:rtl/>
        </w:rPr>
        <w:t xml:space="preserve"> זמני השהות.</w:t>
      </w:r>
    </w:p>
    <w:p w:rsidR="00325B48" w:rsidRDefault="00325B48" w:rsidP="00E37856">
      <w:pPr>
        <w:pStyle w:val="ad"/>
        <w:numPr>
          <w:ilvl w:val="0"/>
          <w:numId w:val="1"/>
        </w:numPr>
        <w:tabs>
          <w:tab w:val="left" w:pos="567"/>
        </w:tabs>
        <w:spacing w:before="240" w:after="240" w:line="360" w:lineRule="auto"/>
        <w:ind w:left="567" w:hanging="567"/>
        <w:contextualSpacing w:val="0"/>
        <w:jc w:val="both"/>
        <w:rPr>
          <w:rFonts w:ascii="David" w:hAnsi="David" w:cs="David"/>
          <w:color w:val="FF0000"/>
          <w:sz w:val="24"/>
          <w:szCs w:val="24"/>
          <w:rtl/>
        </w:rPr>
      </w:pPr>
      <w:r>
        <w:rPr>
          <w:rFonts w:ascii="David" w:hAnsi="David" w:cs="David"/>
          <w:sz w:val="24"/>
          <w:szCs w:val="24"/>
          <w:rtl/>
        </w:rPr>
        <w:t>יתרה מזאת</w:t>
      </w:r>
      <w:r w:rsidR="00E37856">
        <w:rPr>
          <w:rFonts w:ascii="David" w:hAnsi="David" w:cs="David" w:hint="cs"/>
          <w:sz w:val="24"/>
          <w:szCs w:val="24"/>
          <w:rtl/>
        </w:rPr>
        <w:t>,</w:t>
      </w:r>
      <w:r>
        <w:rPr>
          <w:rFonts w:ascii="David" w:hAnsi="David" w:cs="David"/>
          <w:sz w:val="24"/>
          <w:szCs w:val="24"/>
          <w:rtl/>
        </w:rPr>
        <w:t xml:space="preserve"> גרסת האב ביחס להרחבה כה מהותית בזמני השהות אינה מסתברת, עת כחודש חצי בלבד עובר להגשת התביעה דנן, הוגש, ביום 19.12.2021, תסקיר עו"ס לסדרי דין בגדרי הליך תמ"ש 41047-07-21, ממנו עולה, כי ממועד מתן פסק הדין בעניין זמני השהות ביום 15.7.2012, התקיימו זמני שהות סדירים בין האב לקטינים, אולם בשנתיים האחרונות עובר להגשת התסקיר, המפגשים עם האב לא מתקיימים באופן סדיר. העו"ס לא ציינה בתסקיר כי האב מקיים זמני שהות נרחבי</w:t>
      </w:r>
      <w:r w:rsidR="0064231E">
        <w:rPr>
          <w:rFonts w:ascii="David" w:hAnsi="David" w:cs="David"/>
          <w:sz w:val="24"/>
          <w:szCs w:val="24"/>
          <w:rtl/>
        </w:rPr>
        <w:t xml:space="preserve">ם יותר עם הקטינים, אלא </w:t>
      </w:r>
      <w:r w:rsidR="0064231E">
        <w:rPr>
          <w:rFonts w:ascii="David" w:hAnsi="David" w:cs="David" w:hint="cs"/>
          <w:sz w:val="24"/>
          <w:szCs w:val="24"/>
          <w:rtl/>
        </w:rPr>
        <w:t>נהפוך הוא, בתסקיר נכתב כי:</w:t>
      </w:r>
      <w:r>
        <w:rPr>
          <w:rFonts w:ascii="David" w:hAnsi="David" w:cs="David"/>
          <w:sz w:val="24"/>
          <w:szCs w:val="24"/>
          <w:rtl/>
        </w:rPr>
        <w:t xml:space="preserve">   </w:t>
      </w:r>
    </w:p>
    <w:p w:rsidR="00325B48" w:rsidRDefault="0064231E" w:rsidP="0064231E">
      <w:pPr>
        <w:pStyle w:val="ad"/>
        <w:tabs>
          <w:tab w:val="left" w:pos="1134"/>
        </w:tabs>
        <w:spacing w:before="240" w:after="240" w:line="360" w:lineRule="auto"/>
        <w:ind w:left="1134" w:right="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"זמני השהות כפי שהם היום, מלמדים כי הם אינם טובתם של הילדים, הם אינם מהווים עבורם תחושת יציבות, נהפוך הוא הילדים מטורטרים, כאשר האב אינו לוקח אותם הם שוהים אצל הורי האב, ובזמן שלא נוח להם שם הם הולכים לסבתא מצד האם.</w:t>
      </w:r>
    </w:p>
    <w:p w:rsidR="00325B48" w:rsidRDefault="00325B48" w:rsidP="0064231E">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אמנם הם חווים את בית הסבים כדבר טוב עבורם, אך המציאות מראה שהם מועברים מבית לבית, הדבר לא לטובתם ולא מותאם לגילם. זה מייצר חוויה שהם לא רצויים ושאין להם מקום ברור. נראה לנו כי שני ההורים אינם מתייחסים לילדים בהתאם לגילם. הילדים גדולים יכולים לנוע במרחב באופן עצמאי וכל ההתייחסות שמעבירים אותם בין הסבים, לא תואמת את עצמאותם. מכאן שנראה נכון, כי נושא זמני השהות, אכן צריך להיבחן מחדש.</w:t>
      </w:r>
    </w:p>
    <w:p w:rsidR="00325B48" w:rsidRDefault="00325B48" w:rsidP="0064231E">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באשר לשבתות, לאור הפער בין אורח חייו של האב השומר שבת כהלכתה, לבין אורח חייהם החילוני של הילדים, לצד התנגדותם של הילדים לשהות בבית זוגתו של האב בסופ"ש, אנו מציעים כי אחת לחודש, האב יגיע לאופקים, כך שהוא והילדים ימצאו את הדרך למצוא זמן משותף, על אף הפערים שציינו. באשר לחגים – יתחלקו חצי חצי כפי ההחלטה הקודמת. אני מחדדת כי בימים בהם הילדים בחגים אצל האב, הוא יבלה בביתו/ בית הוריו על מנת לאפשר לילדים את המרחב המשותף ביניהם.</w:t>
      </w:r>
    </w:p>
    <w:p w:rsidR="00325B48" w:rsidRDefault="00325B48" w:rsidP="0064231E">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באשר ליום ג' – אני ממליצה כי האב יתאם עם הילדים את שעות הביקור...." (ר' סעיף 2 לתסקיר).</w:t>
      </w:r>
    </w:p>
    <w:p w:rsidR="00325B48" w:rsidRDefault="0064231E"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העו"ס התרשמה, כי האב מתקשה לזהות את השינויים שחווים הקטינים נוכח גיל ההתבגרות, את הקשיים שהם חווים נוכח הזוגיות שמקיים האב והקונפליקטים שלהם עם בת זוגו. לשיטתה, האופן שהאב מפרש את התנהגות הקטינים כהסתה של האם ולא כהתנהגות שלהם עצמם, מונעת ממנו להתמקד בצורכי הקטינים וממקדת את החלטותיו בסכסוך עם האם. לפיכך, לשם שיפור התקשרות שלו עם ילדיו ועל מנת למנוע מצב של נתק מצדם, המליצה העו"ס, כי האב יקבל הדרכה הורית ב"מרכז הורים ומתבגרים".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בהתאם להמלצות העו"ס, הופנו הצדדים בפסק הדין שניתן בסוף הדיון בהליך ביום  22.12.2021 להדרכה הורית, כאשר זמני השהות של מי מהצדדים עם הקטינים לא השתנו מהסכמותיהם מיום 15.7.2012.</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אם כך הם פני הדברים, לא נהיר בעיני כיצד עתר האב, כחודש וחצי לאחר הגשת התסקיר ומתן פסק הדין לעיל, בתביעה להפחתת דמי מזונות, בגדרה טוען, כי זמני השהות שלו עם הקטינים הורחבו באופן משמעותי, כאשר לא זו בלבד שהדבר אינו מוצא ביטויו בהליך הקשור, אלא שהאב אף לא עתר מצדו בתביעה להרחבת זמני השהות.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זה המקום לציין, כי כבר בעת מתן פסק הדין למזונות (שניתן כתשעה חודשים לאחר מתן פסק הדין בעניין זמני השהות), ניתנה התייחסות כב' השופט גביזון להתנהלותו של האב ביחס לאי קיום זמני השהות – </w:t>
      </w:r>
    </w:p>
    <w:p w:rsidR="00325B48" w:rsidRDefault="00325B48" w:rsidP="00F64892">
      <w:pPr>
        <w:pStyle w:val="ad"/>
        <w:tabs>
          <w:tab w:val="left" w:pos="1134"/>
        </w:tabs>
        <w:spacing w:before="240" w:after="240" w:line="360" w:lineRule="auto"/>
        <w:ind w:left="1134" w:right="567"/>
        <w:contextualSpacing w:val="0"/>
        <w:jc w:val="both"/>
        <w:rPr>
          <w:rFonts w:ascii="David" w:hAnsi="David" w:cs="David"/>
          <w:sz w:val="24"/>
          <w:szCs w:val="24"/>
        </w:rPr>
      </w:pPr>
      <w:r>
        <w:rPr>
          <w:rFonts w:ascii="David" w:hAnsi="David" w:cs="David"/>
          <w:sz w:val="24"/>
          <w:szCs w:val="24"/>
          <w:rtl/>
        </w:rPr>
        <w:t xml:space="preserve">"ער אני להלכה כי מזונות מספר קטינים אינו בהכרח המכפלה של מזונות קטין אחד במספר הקטינים. אולם במקרה שבפני מצאתי לחרוג מכלל זה וזאת בשים לב לכך כי </w:t>
      </w:r>
      <w:r>
        <w:rPr>
          <w:rFonts w:ascii="David" w:hAnsi="David" w:cs="David"/>
          <w:b/>
          <w:bCs/>
          <w:sz w:val="24"/>
          <w:szCs w:val="24"/>
          <w:rtl/>
        </w:rPr>
        <w:t>לשיטת הנתבע עצמו הוא אינו עומד בהסדרי הראיה עם ילדיו</w:t>
      </w:r>
      <w:r>
        <w:rPr>
          <w:rFonts w:ascii="David" w:hAnsi="David" w:cs="David"/>
          <w:sz w:val="24"/>
          <w:szCs w:val="24"/>
          <w:rtl/>
        </w:rPr>
        <w:t xml:space="preserve">. איני מבקש להעניש חלילה את הנתבע על בחירה זו (אשר אין לי אלא להצר עליה) אולם להתנהגותו של הנתבע יש משמעות כלכלית </w:t>
      </w:r>
      <w:r>
        <w:rPr>
          <w:rFonts w:ascii="David" w:hAnsi="David" w:cs="David"/>
          <w:b/>
          <w:bCs/>
          <w:sz w:val="24"/>
          <w:szCs w:val="24"/>
          <w:rtl/>
        </w:rPr>
        <w:t>באופן שאי קיום הסדרי הראיה מכביד כלכלית על המשמורן ומקל כלכלית על ההורה האחר</w:t>
      </w:r>
      <w:r>
        <w:rPr>
          <w:rFonts w:ascii="David" w:hAnsi="David" w:cs="David"/>
          <w:sz w:val="24"/>
          <w:szCs w:val="24"/>
          <w:rtl/>
        </w:rPr>
        <w:t>. כך גם בחרתי שלא לנכות את קצבת הילדים המשולמת על ידי המל"ל וקצבה זו תשלום בנוסף לתשלום המזונות" (ר' פסקה 28 לפסק הדין) (ההדגשה אינה במקור, ש.כ.).</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מהעדויות שנשמעו לפני ומכל אשר הוגש בהליך דנן ובהליכים הקשורים, התרשמתי, כי ענייננו בקטינים בגילאי ההתבגרות, אשר מצויים בקשר טוב עם סבתם, מרגישים בנוח בביתה ומרבים לבקר שם (ואין אלא לברך על כך); ביקורי הקטינים בבית סבתם מתקיימים באופן שאינו סדיר וקיים קושי להגדירו ולתחמו, על ציר הזמן, כקיום זמני שהות עם האב, במובחן מביקורים של נכדים בבית סבתם. ר' לעניין זה גם עדותה של הסבתא בחקירתה הנגדית:</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Pr>
      </w:pPr>
      <w:r>
        <w:rPr>
          <w:rFonts w:ascii="David" w:hAnsi="David" w:cs="David"/>
          <w:sz w:val="24"/>
          <w:szCs w:val="24"/>
          <w:rtl/>
        </w:rPr>
        <w:t>"ת. לא, הם לא באים פעם בשבוע, הם באים יותר. אם הוא הולך להסתפר, הוא בא להתרחץ, הולכים לזה, הם באים להתרחץ. בשמחה, אני לא אומרת, אני בשמחה אקבל אותם.</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ש. אם היית, למי, נניח והילדים וההורים לא היו מסוכסכים, הילדים לא היו מגיעים? מגיעים, נכון, זה סבתא</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ת. בטח שמגיעים.</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ש. היו מתקלחים אצל סבתא?</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ת. נכון." (ר' עמ' 67, ש' 28-35 לפרוטוקול הדיון, ההדגשה נוספה – ש.כ.".</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ש. "והם באים לישון אצלך כל פעם, פעם ביום שלישי, נכון? כל יום שלישי.</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 xml:space="preserve"> [...]</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ת. ואחד לשבועיים שהם אצלי שבת.</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ש. סוף שבוע, נכון?</w:t>
      </w:r>
    </w:p>
    <w:p w:rsidR="00325B48" w:rsidRDefault="00325B48" w:rsidP="00E37856">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 xml:space="preserve">ת. הם באים גם באמצע השבוע, ושבת אחרונה שהם היו אצלי, </w:t>
      </w:r>
      <w:r w:rsidR="00E37856">
        <w:rPr>
          <w:rFonts w:ascii="David" w:hAnsi="David" w:cs="David" w:hint="cs"/>
          <w:sz w:val="24"/>
          <w:szCs w:val="24"/>
          <w:rtl/>
        </w:rPr>
        <w:t>נ'</w:t>
      </w:r>
      <w:r>
        <w:rPr>
          <w:rFonts w:ascii="David" w:hAnsi="David" w:cs="David"/>
          <w:sz w:val="24"/>
          <w:szCs w:val="24"/>
          <w:rtl/>
        </w:rPr>
        <w:t xml:space="preserve"> הביא שבעה חברים, זה הקטן, והגדול הביא ארבע חברים.</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ש. ומה זה אומר? שהם מאוד אוהבים אותך ומרגישים הכי נוח בעולם.</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ת. יופי, גם אני אוהבת אותם" (ר' עמ' 68, ש' 22-32 לפרוטוקול הדיון).</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ניכר, כי מדובר בסבתא מסורה לנכדיה, כאשר גם האם תומכת מאוד בקשר של ילדיה עם סבתם. ר' דברי האם בדיון ההוכחות: "לא, לא, אין לי איתה שום דבר, אני אוהבת אותך, מעריכה אותך ואין עליה. היא סבתא נהדרת, את זה אף אחד לא ייקח לה, לא הבן שלה ולא אף אחד" (עמ' 69, ש' 14-15 לפרוטוקול הדיון).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סבורני, כי קביעה לפיה ביקורי הקטינים בבית סבתם, מעבר לזמני השהות שנקבעו, מהווה משום הרחבה של זמני השהות, אינה ראויה ואינה צודקת בנסיבות העניין. מעבר לכך שההרחבה הנטענת של זמני השהות לא הוכחה, הרי שאם תאמר כן, עשויה האם להגביל את ביקורי הקטינים בבית הסבתא לזמני השהות המוגדרים שהוסכמו על ידי הצדדים בפסק הדין מיום 15.7.2012. תוצאה זו אינה ראויה בעיני ובנסיבותיהם של הצדדים שלפני, אינה עולה בקנה אחד עם טובת הקטינים שניכר – והדבר אינו במחלוקת בין הצדדים – שאוהבים את סבתם וחשים בנוח במחיצתה ואף לא עם האינטרס של הסבתא ששמחה ומברכת על ביקורי הנכדים. דברים אלו מקבלים משנה תוקף בענייננו בשים לב לגילאי הקטינים, שאינם זקוקים להשגחה וטיפול שוטף וצמוד במשך כל שעות היממה, וניתן להותירם בבית מגורי האם, לפרקים, וזאת מבלי לדאוג לשירותי שמרטפות.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טובתם של הקטינים לשהות זמן משמעותי עם כל אחד מהוריהם ועם הורי הוריהם, קל וחומר בשים לב לגילם ועצמאותם ביחס לביטוי רצונם לשהות בכל אחד מהבתים. קביעה כי כל שינוי בחלוקת זמני השהות, קטן כגדול, ישליך על גובה המזונות, אינה ראויה, עת עלול מי מההורים לשקול שיקולים לא עניינים בכל הנוגע לבקשת הילדים או מי מההורים לעשות שינוי בזמני השהות שנקבעו או בזמן המשפחתי של הקטינים עם המשפחה המורחבת של כל צד, אף אם השינוי מתיישב עם טובת הקטינים (ר' לעניין זה תלה"מ (משפחה פתח תקוה) 35182-08-20</w:t>
      </w:r>
      <w:r>
        <w:rPr>
          <w:rFonts w:ascii="David" w:hAnsi="David" w:cs="David"/>
          <w:b/>
          <w:bCs/>
          <w:sz w:val="24"/>
          <w:szCs w:val="24"/>
          <w:rtl/>
        </w:rPr>
        <w:t xml:space="preserve"> ר"ב נ' ד"ו </w:t>
      </w:r>
      <w:r>
        <w:rPr>
          <w:rFonts w:ascii="David" w:hAnsi="David" w:cs="David"/>
          <w:sz w:val="24"/>
          <w:szCs w:val="24"/>
          <w:rtl/>
        </w:rPr>
        <w:t>(נבו 18.05.2023).</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לאור המקובץ לעיל, לא מצאתי כי עלה בידי האב להוכיח שינוי נסיבות בדמות הרחבת זמני השהות שלו עם הקטינים המצדיקים התערבות בפסק הדין והפחתת גובה דמי המזונות כנדרש בפסיקה.</w:t>
      </w:r>
    </w:p>
    <w:p w:rsidR="00325B48" w:rsidRDefault="00325B48" w:rsidP="00325B48">
      <w:pPr>
        <w:pStyle w:val="ad"/>
        <w:tabs>
          <w:tab w:val="left" w:pos="567"/>
        </w:tabs>
        <w:spacing w:before="240" w:after="240" w:line="360" w:lineRule="auto"/>
        <w:ind w:left="567" w:hanging="567"/>
        <w:contextualSpacing w:val="0"/>
        <w:jc w:val="both"/>
        <w:rPr>
          <w:rFonts w:ascii="David" w:hAnsi="David" w:cs="David"/>
          <w:sz w:val="24"/>
          <w:szCs w:val="24"/>
          <w:rtl/>
        </w:rPr>
      </w:pPr>
    </w:p>
    <w:p w:rsidR="00325B48" w:rsidRDefault="00325B48" w:rsidP="00325B48">
      <w:pPr>
        <w:tabs>
          <w:tab w:val="left" w:pos="567"/>
        </w:tabs>
        <w:spacing w:before="240" w:after="240" w:line="360" w:lineRule="auto"/>
        <w:ind w:left="567" w:hanging="567"/>
        <w:jc w:val="both"/>
        <w:rPr>
          <w:rFonts w:ascii="David" w:hAnsi="David"/>
          <w:u w:val="single"/>
        </w:rPr>
      </w:pPr>
      <w:r>
        <w:rPr>
          <w:rFonts w:ascii="David" w:hAnsi="David"/>
          <w:u w:val="single"/>
          <w:rtl/>
        </w:rPr>
        <w:t>טענת התובע לשינוי נסיבות עקב שיפור במצבה הכלכלי של האם: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הצדדים שניהם, נותרו לעבוד באותו מקום עבודה בו עבדו במועד מתן פסק הדין – התובע עובד כסוהר בשירות בתי הסוהר והנתבעת עובדת כמורה במשרד החינוך.</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התובע טוען, כי הכנסתה של הנתבעת משכר עבודה עלתה באופן ניכר, מסך של 5,500 ₪ במועד מתן פסק הדין לסך של כ- 17,500 ₪ בעת הזו, כאשר הוא מעמיד משכורתה החודשית ממשרד החינוך בסך של כ- 13,500 ₪, בתוספת שיעורים פרטיים שהיא מעבירה לתלמידים בתמורה הנאמדת על ידו בסך של כ- 4,000 ₪ לחודש – תמורה אותה היא מקבלת באמצעות העברות בנקאיות, לרבות יישומון "</w:t>
      </w:r>
      <w:r>
        <w:rPr>
          <w:rFonts w:ascii="David" w:hAnsi="David" w:cs="David"/>
          <w:sz w:val="24"/>
          <w:szCs w:val="24"/>
        </w:rPr>
        <w:t>BIT</w:t>
      </w:r>
      <w:r>
        <w:rPr>
          <w:rFonts w:ascii="David" w:hAnsi="David" w:cs="David"/>
          <w:sz w:val="24"/>
          <w:szCs w:val="24"/>
          <w:rtl/>
        </w:rPr>
        <w:t xml:space="preserve">" ובמזומן. זאת, בנוסף להכנסותיה ממקורות אחרים, כגון דמי המזונות וקצבת הילדים שהיא מקבלת מהמוסד לביטוח לאומי.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לשיטתו, פער ההכנסות בין הצדדים בעת הזו עומד לטובתה של הנתבעת ביחס של 53%-47%, באשר שכרו החודשי הממוצע עומד על סך 14,500 ₪.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לטענת האב, האם חיה ברמת חיים גבוהה, כאשר ביטוי לכך ניתן למצוא ברכישת רכב חדש, ריבוי נסיעות וחופשות וכן הפקדות לפיקדונות. </w:t>
      </w:r>
    </w:p>
    <w:p w:rsidR="00325B48" w:rsidRDefault="00325B48" w:rsidP="00E3785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בסיכומיו, העלה האב לראשונה טענה, כי הקטין </w:t>
      </w:r>
      <w:r w:rsidR="00E37856">
        <w:rPr>
          <w:rFonts w:ascii="David" w:hAnsi="David" w:cs="David" w:hint="cs"/>
          <w:sz w:val="24"/>
          <w:szCs w:val="24"/>
          <w:rtl/>
        </w:rPr>
        <w:t xml:space="preserve">ל' </w:t>
      </w:r>
      <w:r>
        <w:rPr>
          <w:rFonts w:ascii="David" w:hAnsi="David" w:cs="David"/>
          <w:sz w:val="24"/>
          <w:szCs w:val="24"/>
          <w:rtl/>
        </w:rPr>
        <w:t>עובד ומסייע לאם בהכנסה (סעיף 46 לסיכומים).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הנתבעת אינה מכחישה, כי הכנסתה הכוללת משכר עבודה עלתה ממועד פסק הדין ואולם טוענת, כי מדובר בעלייה צפויה שממילא זהה בשיעורה לעלייה בשכר עבודתו של התובע. לצד זאת, הנתבעת מכחישה גובה הסכומים אותם טוען התובע שהיא משתכרת ממתן שיעורים פרטיים. </w:t>
      </w:r>
    </w:p>
    <w:p w:rsidR="00325B48" w:rsidRDefault="00AD36F9"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 xml:space="preserve">הנתבעת הצהירה בתצהיר עדותה הראשית, כי עורכת שיעורים לפרטיים לתלמידים על מנת להגדיל את הכנסתה החודשית, בהיקף של כשלוש שעות שבועיות, בגינם היא משתכרת סך של כ- 240 ₪ בשבוע (ר' סעיף 34 לתצהיר עדותה הראשית). </w:t>
      </w:r>
    </w:p>
    <w:p w:rsidR="00325B48" w:rsidRDefault="00AD36F9" w:rsidP="00325B48">
      <w:pPr>
        <w:pStyle w:val="ad"/>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ab/>
      </w:r>
      <w:r w:rsidR="00325B48">
        <w:rPr>
          <w:rFonts w:ascii="David" w:hAnsi="David" w:cs="David"/>
          <w:sz w:val="24"/>
          <w:szCs w:val="24"/>
          <w:rtl/>
        </w:rPr>
        <w:t>בחקירתה הנגדית הודתה, כי היקף השיעורים הוא מספר שעות שבועיות (שעה – שלוש בשבוע); כי לו"ז השיעורים אינו מוגדר ותלוי בתלמידים (ר' עמוד 111, ש' 29 – עמוד 112, ש' 13; עמוד 113, ש' 4-11 לפרוטוקול הדיון); כי העלות של כל שיעור היא 80 ₪ וכי את התמורה היא מקבלת רק באמצעות יישומון "</w:t>
      </w:r>
      <w:r w:rsidR="00325B48">
        <w:rPr>
          <w:rFonts w:ascii="David" w:hAnsi="David" w:cs="David"/>
          <w:sz w:val="24"/>
          <w:szCs w:val="24"/>
        </w:rPr>
        <w:t>BIT</w:t>
      </w:r>
      <w:r w:rsidR="00325B48">
        <w:rPr>
          <w:rFonts w:ascii="David" w:hAnsi="David" w:cs="David"/>
          <w:sz w:val="24"/>
          <w:szCs w:val="24"/>
          <w:rtl/>
        </w:rPr>
        <w:t xml:space="preserve">" (ר' עמ' 111, ש' 13 – 28 לפרוטוקול הדיון). </w:t>
      </w:r>
    </w:p>
    <w:p w:rsidR="00325B48" w:rsidRDefault="00AD36F9" w:rsidP="00325B48">
      <w:pPr>
        <w:pStyle w:val="ad"/>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ab/>
      </w:r>
      <w:r w:rsidR="00325B48">
        <w:rPr>
          <w:rFonts w:ascii="David" w:hAnsi="David" w:cs="David"/>
          <w:sz w:val="24"/>
          <w:szCs w:val="24"/>
          <w:rtl/>
        </w:rPr>
        <w:t xml:space="preserve">ר' גם התייחסות הנתבעת לנדון בסיכומים מטעמה, שם הבהירה, כי היא מעבירה שיעורים פרטיים בהיקף של פעמיים – שלוש בשבוע, כאשר כל שיעור הוא באורך של 45 דק ובעלות של 80 ₪ (ר' סעיף 43 לסיכומי הנתבעת).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לתצהיר עדותה הראשית צרפה הנתבעת 16 תלושי שכר ממשרד החינוך, לחודשים מאי 2021 – מאי 2022 ויולי – אוגוסט 2022. עיון בתלושי השכר שצרפה האם מלמד, כי שכרה החודשי הממוצע, בניכוי תשלומי חובה – מיסים, עומד על סך של 10,724.2 ₪. זאת, לעומת סך של 5,500 ₪ לחודש, בניכוי תשלומי חובה, שהשתכרה במועד מתן פסק הדין (ר' סעיף 12 לפסק הדין).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בדיון ההוכחות נחקרה הנתבעת ארוכות על ידי ב"כ התובע ביחס להכנסתה משיעורים פרטיים, לרבות באמצעות הסתייעות הנתבעת ביישומון </w:t>
      </w:r>
      <w:r>
        <w:rPr>
          <w:rFonts w:ascii="David" w:hAnsi="David" w:cs="David"/>
          <w:sz w:val="24"/>
          <w:szCs w:val="24"/>
        </w:rPr>
        <w:t>"BIT"</w:t>
      </w:r>
      <w:r>
        <w:rPr>
          <w:rFonts w:ascii="David" w:hAnsi="David" w:cs="David"/>
          <w:sz w:val="24"/>
          <w:szCs w:val="24"/>
          <w:rtl/>
        </w:rPr>
        <w:t xml:space="preserve"> בטלפון הנייד שלה, כאשר זו נשאלה בפירוט רב ביחס לכל העברה והעברה שבוצעה לה מיישומון זה והשיבה האם מדובר בכספים שהועברו בתמורה לשיעורים פרטיים או למטרות אחרות.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בהקשר זה ייאמר מיד, כי לא נהיר על שום מה לא מצאה ב"כ התובע לעתור בבקשה לגילוי פירוט חשבון ה"</w:t>
      </w:r>
      <w:r>
        <w:rPr>
          <w:rFonts w:ascii="David" w:hAnsi="David" w:cs="David"/>
          <w:sz w:val="24"/>
          <w:szCs w:val="24"/>
        </w:rPr>
        <w:t>BIT</w:t>
      </w:r>
      <w:r>
        <w:rPr>
          <w:rFonts w:ascii="David" w:hAnsi="David" w:cs="David"/>
          <w:sz w:val="24"/>
          <w:szCs w:val="24"/>
          <w:rtl/>
        </w:rPr>
        <w:t xml:space="preserve">" של הנתבעת, שהיה בו כדי לחסוך זמן שיפוטי יקר, כמו גם מזמנם של הצדדים, ככל שסברה כי פירוט זה נדרש לה לשם קבלת תמונה מלאה אודות גובה השתכרות הנתבעת.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מצאתי ליתן אמון בגרסת הנתבעת, כי הכנסתה משיעורים פרטיים מסתכמת בסך של כ- 1,000 ₪ בחודש ולא מצאתי כי התובע עמד בנטל הרובץ לפתחו להוכיח, כי הכנסתה של הנתבעת משיעורים פרטיים, בין אם באמצעות ישומון ה- "</w:t>
      </w:r>
      <w:r>
        <w:rPr>
          <w:rFonts w:ascii="David" w:hAnsi="David" w:cs="David"/>
          <w:sz w:val="24"/>
          <w:szCs w:val="24"/>
        </w:rPr>
        <w:t>BIT</w:t>
      </w:r>
      <w:r>
        <w:rPr>
          <w:rFonts w:ascii="David" w:hAnsi="David" w:cs="David"/>
          <w:sz w:val="24"/>
          <w:szCs w:val="24"/>
          <w:rtl/>
        </w:rPr>
        <w:t>" ובין אם באמצעות כסף מזומן, מגיעה לכדי 4,000 ₪ בחודש כפי שיטתו.</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אכן, כפי שעולה מחומר הראיות, חל שיפור בשכרה של האם במרוצת השנים, ואולם זהו מהלך טבעי של התקדמות האם במקום עבודתה – עליית שכר מתונה והדרגתית וודאי שלא בלתי צפויה, שכן הצפי הוא שאדם מן היישוב ישפר את מצבו ומעמדו במקום העבודה בו הוא עובד במשך שנים. כך גם הגדלת שכרה של האם משיעורים פרטיים היא צפויה בשים לב לכך שמדובר בהגדלת הכנסה כחלק אינהרנטי מהמקצוע בו היא עוסקת.</w:t>
      </w:r>
    </w:p>
    <w:p w:rsidR="00325B48" w:rsidRDefault="00AD36F9"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 xml:space="preserve">ממילא, הגדלת הכנסתה של האם כתוצאה מהתמורה עבור השיעורים הפרטיים, אינה משמעותית ומסתכמת בסך של כ- 1,000 ₪ נוספים בחודש להכנסתה מעבודתה כמורה בבית ספר. אין המדובר בענייננו במשרה נוספת של האם, אם כי בהשלמת הכנסה של מספר מאות שקלים, עד כאלף שקלים בחודש, שיש בהם כדי לסייע בכלכלת הבית והקטינים.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התובע מלין על כך שהנתבעת לא צרפה תלושי שכר לחודשים יוני וספטמבר לשנת 2022, בהתאם להסכמות הצדדים בדיון מיום 2.10.2022 ואולם לא מצאתי כי יש בכך כדי לשנות ממסקנתי לעיל בדבר ממוצע הכנסתה החודשי של הנתבעת. לטענת התובע, היה בתלוש השכר של חודש ספטמבר 2022 כדי ללמד על העלייה בשכר המורים בהתאם להסכם קיבוצי שנחתם עם משרד האוצר והסתדרות העובדים (ר' סעיף 20 לסיכומיו). עם זאת, הנתבעת לא נדרשה לפי דין לצרף את תלוש השכר של חודש ספטמבר 2022 לתצהיר העדות הראשי מטעמה שהוגש ביום 22.9.2022, אם כי תלושי שכר של 12 החודשים האחרונים שקדמו לכך, קרי עד לחודש אוגוסט 2022; והתובע מצדו, לא עתר בבקשה לגילוי ספציפי של ההסכם הקיבוצי לעיל, ככל שסבר כי יש בכך כדי להוכיח טענותיו ביחס להגדלת הכנסת הנתבעת. בכל אופן, אף אם הכנסתה של הנתבעת עלתה/ תעלה בהתאם להסכם הקיבוצי הנטען, הרי שהדבר צפוי בהחלט בשים לב לכך שהנתבעת היא מורה במשרד החינוך, עובדה ידועה ממועד מתן פסק הדין, כאשר גובה הכנסתה מושפע מהסכמים קיבוציים כאלה ואחרים וממילא התובע לא פעל להוכיח אחרת.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לא מצאתי ממש בטענות התובע, כי יש בתדירות חופשותיה של הנתבעת כדי ללמד בהכרח על חוסנה הכלכלי, לרבות על הכנסה לא מדווחת. בכל מקרה, לא הוצגה מטעם התובע תשתית ראייתית מספקת, ולו בדוחק, כי ניתן ללמוד מאורח חייה של האם על "כספים במזומן שהפיקה הנתבעת כהכנסה לא מדווחת משיעורים פרטיים" (ר' סעיף 32 לסיכומי התובע).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בזיקה לכך, לא מצאתי אף ליתן משקל בנסיבות העניין לטענות התובע כי הנתבעת נוהגת ב"רכב יוקרה". הנתבעת הכחישה כי נוהגת ב"רכב יוקרה" והצהירה כי הרכב רשום על שם הוריה, נרכש מכספם וכי היא מסייעת בהסעתם (ר' סעיף 26 לתצהיר הנתבעת). התובע מצדו לא פעל להוכיח אחרת, לרבות על ידי בקשה למתן צו גילוי למשרד הרישוי ביחס לרישום בעלות על הרכב ואין די בטענותיו כי גרסת הנתבעת אינה אמינה בשים לב לכך שהיא מסייעת כלכלית להוריה; כי אורח החיים שלה אינו מאפשר סיוע להריה וכי היא נוהגת ברכב מנהג בעלים. בכל אופן, גם לו היה מוכיח התובע כי הנתבעת רכשה רכב יוקרה (ולא כך הדבר), הרי שאין מדובר בנסיבה שיש בה כדי להוכיח שינוי מהותי במצבה הכלכלי שיהא בו כדי לשנות מתוצאת פסק הדין, בשים לב להכנסתה של האם כפי שהוכחה, כמפורט לעיל.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יתרה מכך. לצד שיפור במצבה הכלכלי של האם, חל גם שיפור במצבו הכלכלי של האב. לתצהיר עדותו הראשית ותגובתו מיום 19.9.2022 צרף האב 12 תלושי שכר משירות בתי הסוהר, לחודשים יולי 2021 – יוני 2022, מהם עולה כי שכרו החודשי הממוצע, בניכוי תשלומי חובה – מיסים, עומד על סך של 16,929.09 ₪. זאת, לעומת סך של 9,700 ₪ לחודש, בניכוי תשלומי חובה, שהשתכר במועד מתן פסק הדין (ר' סעיף 14 לפסק הדין).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מכאן, שבמועד מתן פסק הדין יחס ההכנסות של הצדדים עמד על 36% - 64% לטובת האב וכיום, מחישוב של ממוצע הכנסותיהם של הצדדים בהתאם לתלושי השכר שצירפו בתוספת 1,000 ₪ להכנסת האם בגין התמורה מהשיעורים הפרטיים עולה, כי יחס ההכנסות של הצדדים עומד על כ- 41% - 59%, לטובת האב – הכנסת האב עלתה בכ- 7,229 ₪ לחודש והכנסת האם עלתה בכ- 6,224 ₪ לחודש.</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למעשה, העלייה בשכרם של הצדדים, ששניהם עובדי המגזר הציבורי, היא צפויה לנוכח העלייה בשכר במשק מעת מתן פסק הדין לפני כ- 13 שנים ובשים לב לעלייה בדרגת השכר של שניהם. גם העלייה בשכר הממוצע במשק במרוצת השנים, היא נסיבה שהייתה צפויה צפי סביר בעת מתן פסק הדין והואיל שממילא, השכר של שני הצדדים עלה בהתאמה, הרי שאין להעניק לגידול בשכרה של האם בנסיבות העניין, משקל ממשי וודאי שלא מדובר בשינוי בשיפור בהכנסת האם כדי להצביע על שינוי נסיבות מהותי, המצדיק הפחתת המזונות.</w:t>
      </w:r>
    </w:p>
    <w:p w:rsidR="00325B48" w:rsidRDefault="00325B48" w:rsidP="00E3785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לא מצאתי אף לקבל טענת האב, כי יש ליתן משמעות לעבודתו של הקטין </w:t>
      </w:r>
      <w:r w:rsidR="00E37856">
        <w:rPr>
          <w:rFonts w:ascii="David" w:hAnsi="David" w:cs="David" w:hint="cs"/>
          <w:sz w:val="24"/>
          <w:szCs w:val="24"/>
          <w:rtl/>
        </w:rPr>
        <w:t>ל'</w:t>
      </w:r>
      <w:r>
        <w:rPr>
          <w:rFonts w:ascii="David" w:hAnsi="David" w:cs="David"/>
          <w:sz w:val="24"/>
          <w:szCs w:val="24"/>
          <w:rtl/>
        </w:rPr>
        <w:t xml:space="preserve"> כמעצב גרפי וכי "יש להניח כי מדובר בקטין אשר מכלכל את עצמו ומסייע לאימו בהכנסה נוספת ויש בכך כדי להצביע על שינוי נסיבות" (ר' סעיף 46 לסיכומי התובע).</w:t>
      </w:r>
    </w:p>
    <w:p w:rsidR="00325B48" w:rsidRDefault="00325B48" w:rsidP="00E3785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מעבר לכך כי מדובר בהרחבת חזית אסורה, האם הודתה בחקירתה הנגדית, כי קיבלה סך של 45 ₪ בביט עבור עבודות שביצע הקטין </w:t>
      </w:r>
      <w:r w:rsidR="00E37856">
        <w:rPr>
          <w:rFonts w:ascii="David" w:hAnsi="David" w:cs="David" w:hint="cs"/>
          <w:sz w:val="24"/>
          <w:szCs w:val="24"/>
          <w:rtl/>
        </w:rPr>
        <w:t>ל'</w:t>
      </w:r>
      <w:r>
        <w:rPr>
          <w:rFonts w:ascii="David" w:hAnsi="David" w:cs="David"/>
          <w:sz w:val="24"/>
          <w:szCs w:val="24"/>
          <w:rtl/>
        </w:rPr>
        <w:t xml:space="preserve"> בעיצוב גרפי (ר' עמ' 116, ש' 19-34). עם זאת, לא ניתן ללמוד מכך מה הכנסתו הממוצעת של הקטין. כדי שבית המשפט יוכל להתחשב בכך, היה על התובע להמציא תלושי שכר של הקטין / דו"ח רווח והפסד / פירוט הכנסות באופן שהיה בו כדי ללמוד באופן מהימן אודות הכנסתו, או לעתור בבקשה מתאימה לגילוי מסמכים כאמור. משהדבר לא נעשה ושבפני בית המשפט אין כל נתונים מספקים בעניין, הרי שאין כל מקום להידרש לכך, ובפרט משהקטין </w:t>
      </w:r>
      <w:r w:rsidR="00E37856">
        <w:rPr>
          <w:rFonts w:ascii="David" w:hAnsi="David" w:cs="David" w:hint="cs"/>
          <w:sz w:val="24"/>
          <w:szCs w:val="24"/>
          <w:rtl/>
        </w:rPr>
        <w:t>ל'</w:t>
      </w:r>
      <w:r>
        <w:rPr>
          <w:rFonts w:ascii="David" w:hAnsi="David" w:cs="David"/>
          <w:sz w:val="24"/>
          <w:szCs w:val="24"/>
          <w:rtl/>
        </w:rPr>
        <w:t xml:space="preserve">, יליד </w:t>
      </w:r>
      <w:r w:rsidR="00E37856">
        <w:rPr>
          <w:rFonts w:ascii="David" w:hAnsi="David" w:cs="David" w:hint="cs"/>
          <w:sz w:val="24"/>
          <w:szCs w:val="24"/>
          <w:rtl/>
        </w:rPr>
        <w:t xml:space="preserve">2005 </w:t>
      </w:r>
      <w:r>
        <w:rPr>
          <w:rFonts w:ascii="David" w:hAnsi="David" w:cs="David"/>
          <w:sz w:val="24"/>
          <w:szCs w:val="24"/>
          <w:rtl/>
        </w:rPr>
        <w:t>(כבן 18).</w:t>
      </w:r>
    </w:p>
    <w:p w:rsidR="00325B48" w:rsidRDefault="00325B48" w:rsidP="00325B48">
      <w:pPr>
        <w:pStyle w:val="ad"/>
        <w:tabs>
          <w:tab w:val="left" w:pos="567"/>
        </w:tabs>
        <w:spacing w:before="240" w:after="240" w:line="360" w:lineRule="auto"/>
        <w:ind w:left="567" w:hanging="567"/>
        <w:contextualSpacing w:val="0"/>
        <w:jc w:val="both"/>
        <w:rPr>
          <w:rFonts w:ascii="David" w:hAnsi="David" w:cs="David"/>
          <w:sz w:val="24"/>
          <w:szCs w:val="24"/>
        </w:rPr>
      </w:pPr>
    </w:p>
    <w:p w:rsidR="00325B48" w:rsidRDefault="00325B48" w:rsidP="00325B48">
      <w:pPr>
        <w:tabs>
          <w:tab w:val="left" w:pos="567"/>
        </w:tabs>
        <w:spacing w:before="240" w:after="240" w:line="360" w:lineRule="auto"/>
        <w:ind w:left="567" w:hanging="567"/>
        <w:jc w:val="both"/>
        <w:rPr>
          <w:rFonts w:ascii="David" w:hAnsi="David"/>
          <w:u w:val="single"/>
        </w:rPr>
      </w:pPr>
      <w:r>
        <w:rPr>
          <w:rFonts w:ascii="David" w:hAnsi="David"/>
          <w:u w:val="single"/>
          <w:rtl/>
        </w:rPr>
        <w:t>טענה לשינוי נסיבות עקב מצבו הכלכלי של האב והוצאותיו הרבות:</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לטענת התובע, במועד מתן פסק הדין הכנסתו החודשית עמדה על סך של 9,700 ₪ נטו וכיום זו עומדת על סך של כ- 14,500 ₪. כך, במועד מתן פסק הדין יחס ההכנסות בין הצדדים היה 36%-64% לטובת האב, בעוד שהיום, יחס ההכנסות הוא 47%-53% לטובת האם.</w:t>
      </w:r>
    </w:p>
    <w:p w:rsidR="00325B48" w:rsidRDefault="00AD36F9" w:rsidP="00325B48">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325B48">
        <w:rPr>
          <w:rFonts w:ascii="David" w:hAnsi="David" w:cs="David"/>
          <w:sz w:val="24"/>
          <w:szCs w:val="24"/>
          <w:rtl/>
        </w:rPr>
        <w:t>כמו כן, במועד מתן פסק הדין לאב לא היו הוצאות מדור, כך שכל הכנסתו נלקחה לצורך חישוב הכנסתו הפנויה. לעומת זאת, היום האב נושא בהוצאות מדור ואחזקת מדור ובנוסף לכך מסייע לאמו (סבתם של הקטינים) בהוצאותיה, לרבות בהוצאות הקטינים אשר שוהים בביתה בתכיפות גבוהה. האב ציין, כי נמצא בזוגיות חדשה ומבקש להשתקם, לפתוח בחיים חדשים, ולהקים משפחה.</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הנתבעת טוענת, כי הוצאות האב עבור מדור ואחזקת המדור, כמו גם היותו בזוגיות, אינן מהוות נסיבה המצדיקה הפחתת המזונות, שעה שמדובר בהוצאות צפויות שהיוו חלק משיקולי בית המשפט בבואו לפסוק את גובה המזונות. כמו כן, אין בהצהרתו כי מסייע לאמו בהוצאותיה, כדי להצדיק הפחתת גובה המזונות, עת מדובר בעזרה לאמו שאינה כרוכה דווקא בקשר להוצאות הקטינים.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כפי שפורט בהרחבה לעיל, הכנסתו החודשית של הנתבע (בניכוי תשלומי חובה – מיסים), עלתה באופן ניכר ממועד מתן פסק הדין ועד היום (מסכום של 9,700 ₪ לסכום של 16,929.09 ₪) – עליה צפויה וטבעית בשים לב לעלייה בשכר הממוצע במשק, לוותק שצבר ולהתקדמותו במקום עבודתו. לא מצאתי, כי יחס ההכנסות בין הצדדים עומד על 47%-53% לטובת האם, כשיטת התובע, אלא להיפך – יחס ההכנסות בין הצדדים עודנו עומד לטובת האב, בשיעור של כ- 41%-59%. אמנם פער ההכנסות בין הצדדים הצטמצם בכ- 10%, ברם מדובר בשינוי קל יחסית, שאין בו כדי לעמוד באמות המידה שהונחו בפסיקה לצורך הפחתת מזונות, עת הגיוני וצפוי הוא, כי במרוצת השנים יחולו שינויים כאלה ואחרים במצבם הכלכלי של הצדדים וכאשר ממילא, יחס ההכנסות עדיין עומד לטובת האב בפער של 18%.</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התובע הצהיר שרכש דירה בעלות של כ- 400,000 ₪ בגינה נושא בהלוואת משכנתא שהחזרה החודשי עומד על כ- 1,065 ₪ (ר' סעיף 73 לתצהיר עדותו הראשית של התובע) וכן, נושא בהוצאות המדור של דירתו, אף שבפועל שוהה במרבית הזמן בבית אמו ולמעשה מתגורר עמה. ואולם, אין בעובדה שהתובע רכש דירה ונושא בהוצאות מדורה ואחזקתה, כדי להוות נסיבה בלתי צפויה שיש בה כדי להביא להפחתה בדמי המזונות. נהפוך הוא – מדובר בשינוי מתבקש שכן אין להלום מצב בו התובע היה ממשיך ומתגורר בבית הוריו, כמגורים באופן מלא וקבוע (במועד מתן פסק הדין), והייתה ציפייה כי במהלך השנים לאחר פרידת הצדדים, ירכוש או ישכור בית למדורו ומדורם של הקטינים, קל וחומר כאשר בהתאם לחלוקת זמני השהות, התחייב הוא להלין את הקטינים. בכל אופן, לא מצאתי כי יש בסכומים שהוצגו על ידי האב בהם הוא נושא לצורך תשלום הלוואת המשכנתא ואחזקת המדור, כי לחרוג מהוצאות אותן היה מוציא בתמורה למדור שכור, אם כי הרבה פחות מכך.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לכך יוסף, כי ככל שהאב סובר שמצבו הכלכלי מצדיק הגדלת הכנסתו החודשית, הרי שבאפשרותו להשכיר את דירתו, עת ממילא כפי הצהרתו אינו מתגורר שם. כשנשאל על כך התובע על ידי ב"כ הנתבעת בחקירתו הנגדית, השיב:</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Pr>
      </w:pPr>
      <w:r>
        <w:rPr>
          <w:rFonts w:ascii="David" w:hAnsi="David" w:cs="David"/>
          <w:sz w:val="24"/>
          <w:szCs w:val="24"/>
          <w:rtl/>
        </w:rPr>
        <w:t>"יש לי חיי אישות ואני רוצה את הבית שלי כפרטי שלי. אני לא רוצה שאנשים אחרים יהיו לי בבית, זאת הסיבה. זכותי להשאיר את הבית ככה.</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w:t>
      </w:r>
    </w:p>
    <w:p w:rsidR="00325B48" w:rsidRDefault="00325B48" w:rsidP="00AD36F9">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"אני לא גרה (גר – ש.כ) עם הבת זוג, הבת זוג גרה עם הילדים שלה בבית שלה. אני גר אצל אמא שלי, רוב הזמן, אני השארתי את הבית בשבילי, קניתי אותו לחיי הפרטיות שלי" (ר' עמ' 46, ש' 16-17; 34-35 לפרוטוקול).</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בכל אופן, אין בעובדה שאדם בוחר ליטול על עצמו הוצאות נוספות לצורך מחייתו, בהשוואה לאלה שהיו ערב מתן פסק הדין, כדי להביא להפחתה במזונות שמשמעותה הרעה ביכולת של ההורה השני לספק את צרכי הקטינים.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כמו כן, לא מצאתי, כי עלה בידי התובע להוכיח, כי הוא מסייע לאמו ונושא בהוצאותיה, לא כל שכן באופן שחורג מסיוע של בן לאמו, בפרט בשים לב לכך שאין חולק כי זמני השהות שלו עם הקטינים מתקיימים בבית אמו, כך שאך צפוי וטבעי הוא שהתובע יישא בהוצאות הקטינים כשאלה שוהים בבית סבתם. ממילא, התובע העיד, כי ככל שניתן סיוע כלכלי לאם בגין ההוצאות השוטפות הוא ניתן בשל מגוריו שלו בבית אמו (ר' למשל שורות 6-3 לפרוטוקול) ואף היה עושה כן בתקופה שאביו עוד היה בין החיים.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אשר לטענות האב בדבר היותו בזוגיות וההוצאות הכרוכות בכך, הרי שאין בעובדה, כי מי מהצדדים, מצוי בזוגיות חדשה כדי להוות נסיבה בלתי צפויה, אלא ההפך מכך, כפי שיפורט עוד בהמשך.  </w:t>
      </w:r>
    </w:p>
    <w:p w:rsidR="00325B48" w:rsidRDefault="00325B48" w:rsidP="00325B48">
      <w:pPr>
        <w:pStyle w:val="ad"/>
        <w:tabs>
          <w:tab w:val="left" w:pos="567"/>
        </w:tabs>
        <w:spacing w:before="240" w:after="240" w:line="360" w:lineRule="auto"/>
        <w:ind w:left="567" w:hanging="567"/>
        <w:contextualSpacing w:val="0"/>
        <w:jc w:val="both"/>
        <w:rPr>
          <w:rFonts w:ascii="David" w:hAnsi="David" w:cs="David"/>
          <w:sz w:val="24"/>
          <w:szCs w:val="24"/>
        </w:rPr>
      </w:pPr>
    </w:p>
    <w:p w:rsidR="00325B48" w:rsidRDefault="00325B48" w:rsidP="00325B48">
      <w:pPr>
        <w:tabs>
          <w:tab w:val="left" w:pos="567"/>
        </w:tabs>
        <w:spacing w:before="240" w:after="240" w:line="360" w:lineRule="auto"/>
        <w:ind w:left="567" w:hanging="567"/>
        <w:jc w:val="both"/>
        <w:rPr>
          <w:rFonts w:ascii="David" w:hAnsi="David"/>
          <w:u w:val="single"/>
          <w:rtl/>
        </w:rPr>
      </w:pPr>
      <w:r>
        <w:rPr>
          <w:rFonts w:ascii="David" w:hAnsi="David"/>
          <w:u w:val="single"/>
          <w:rtl/>
        </w:rPr>
        <w:t>שינוי נסיבות עקב גילאי הקטינים והוצאותיהם:</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לטענת האב, במועד מתן פסק הדין, הקטינים היו בני כשלוש שנים וחמש שנים ומשכך חויב במזונותיהם באופן אבסולוטי. במועד הגשת התביעה דנא, הקטינים היו בני כ- 13 ו- 17 שנים, כך שעל פי דין, החיוב במזונותיהם אינו אבסולוטי ויש להפחית בשל כך את גובה המזונות. עוד טוען האב, כי במועד מתן פסק הדין הוצאות הקטינים היו גבוהות יותר ו"קשורות בעלויות גנים וצהרונים כמו גם תצרוכת אישית (טיטולים ותמ"ל), בעוד כיום, אלה התחלפו בהוצאות אחרות המאפיינות עובדה זו בכדי להוות בהכרח שינוי נסיבות מהותי" (ר' סעיף 46 לסיכומי התובע וסעיף 73 לתצהירו).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לטענת הנתבעת, אין מדובר בשינוי נסיבות כאשר בפסק הדין נקבע במפורש שדמי המזונות ישולמו עד הגיעם של הקטינים לגיל 18 שנים. כן טוענת הנתבעת, כי הוצאות הקטינים לא פחתו, אלא עלו בשים לב לכך שמדובר בילדים מתבגרים אשר צורכים יותר מזון ובגדים וכי התובע לא הוכיח שהוצאותיו בגין הקטינים עולות על ההוצאות המצופות מכל אב בגדרי זמני השהות עמו. </w:t>
      </w:r>
    </w:p>
    <w:p w:rsidR="00325B48" w:rsidRDefault="00325B48" w:rsidP="00E3785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ייאמר, כי במועד מתן פסק הדין, הקטין </w:t>
      </w:r>
      <w:r w:rsidR="00E37856">
        <w:rPr>
          <w:rFonts w:ascii="David" w:hAnsi="David" w:cs="David" w:hint="cs"/>
          <w:sz w:val="24"/>
          <w:szCs w:val="24"/>
          <w:rtl/>
        </w:rPr>
        <w:t>ל'</w:t>
      </w:r>
      <w:r>
        <w:rPr>
          <w:rFonts w:ascii="David" w:hAnsi="David" w:cs="David"/>
          <w:sz w:val="24"/>
          <w:szCs w:val="24"/>
          <w:rtl/>
        </w:rPr>
        <w:t xml:space="preserve"> היה כבן 7 שנים ו-7 חודשים והקטין </w:t>
      </w:r>
      <w:r w:rsidR="00E37856">
        <w:rPr>
          <w:rFonts w:ascii="David" w:hAnsi="David" w:cs="David" w:hint="cs"/>
          <w:sz w:val="24"/>
          <w:szCs w:val="24"/>
          <w:rtl/>
        </w:rPr>
        <w:t>נ'</w:t>
      </w:r>
      <w:r>
        <w:rPr>
          <w:rFonts w:ascii="David" w:hAnsi="David" w:cs="David"/>
          <w:sz w:val="24"/>
          <w:szCs w:val="24"/>
          <w:rtl/>
        </w:rPr>
        <w:t xml:space="preserve"> כבן 4 שנים ו-4 חודשים. זאת, בניגוד גמור לטענת התובע כי לשני הקטינים טרם מלאו 6 שנים במועד מתן פסק הדין.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ברור הוא שאין בעובדה שהקטינים חצו את גיל החיוב האבסולוטי, כדי להוות שינוי נסיבות המצדיק שינוי בגובה המזונות. אין מדובר בשינוי נסיבות שהוא בלתי צפוי שלא היה ידוע במועד מתן פסק הדין. פסקי דין למזונות ניתנים, לכתחילה, מתוך ידיעה וכוונה שייושמו לאורך שנים רבות – עד הגיעם של הקטינים לגיל בגרות ואף לאחר מכן במהלך השירות הצבאי.  </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אשר להוצאות הקטינים, מצד אחד מבקש האב לטעון, כי הוצאות הקטינים פחתו, אך מצד שני העיד בחקירתו כי אינו יודע מהם צרכי הקטינים:</w:t>
      </w:r>
    </w:p>
    <w:p w:rsidR="00325B48" w:rsidRDefault="004B3EDC" w:rsidP="00DA6286">
      <w:pPr>
        <w:tabs>
          <w:tab w:val="left" w:pos="1417"/>
        </w:tabs>
        <w:spacing w:before="240" w:after="240" w:line="360" w:lineRule="auto"/>
        <w:ind w:left="1417" w:right="567" w:hanging="283"/>
        <w:jc w:val="both"/>
        <w:rPr>
          <w:rFonts w:ascii="David" w:hAnsi="David"/>
          <w:b/>
        </w:rPr>
      </w:pPr>
      <w:r>
        <w:rPr>
          <w:rFonts w:ascii="David" w:hAnsi="David"/>
          <w:b/>
          <w:rtl/>
        </w:rPr>
        <w:t>"ש:</w:t>
      </w:r>
      <w:r>
        <w:rPr>
          <w:rFonts w:ascii="David" w:hAnsi="David" w:hint="cs"/>
          <w:b/>
          <w:rtl/>
        </w:rPr>
        <w:t xml:space="preserve"> </w:t>
      </w:r>
      <w:r w:rsidR="00325B48">
        <w:rPr>
          <w:rFonts w:ascii="David" w:hAnsi="David"/>
          <w:b/>
          <w:rtl/>
        </w:rPr>
        <w:t>שאתה טועה, שהצרכים של בוגרים יותר גדולים משל קטנים. נכון או לא?</w:t>
      </w:r>
    </w:p>
    <w:p w:rsidR="00325B48" w:rsidRDefault="00325B48" w:rsidP="00DA6286">
      <w:pPr>
        <w:tabs>
          <w:tab w:val="left" w:pos="1417"/>
        </w:tabs>
        <w:spacing w:before="240" w:after="240" w:line="360" w:lineRule="auto"/>
        <w:ind w:left="1417" w:right="567" w:hanging="283"/>
        <w:jc w:val="both"/>
        <w:rPr>
          <w:rFonts w:ascii="David" w:hAnsi="David"/>
          <w:b/>
        </w:rPr>
      </w:pPr>
      <w:r>
        <w:rPr>
          <w:rFonts w:ascii="David" w:hAnsi="David"/>
          <w:b/>
          <w:rtl/>
        </w:rPr>
        <w:t>ת:</w:t>
      </w:r>
      <w:r>
        <w:rPr>
          <w:rFonts w:ascii="David" w:hAnsi="David"/>
          <w:b/>
          <w:rtl/>
        </w:rPr>
        <w:tab/>
        <w:t>אני לא יודע כל כך.</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ש:</w:t>
      </w:r>
      <w:r>
        <w:rPr>
          <w:rFonts w:ascii="David" w:hAnsi="David"/>
          <w:b/>
          <w:rtl/>
        </w:rPr>
        <w:tab/>
        <w:t>אתה טענת את זה, אתה הגשת תצהיר.</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ת:</w:t>
      </w:r>
      <w:r>
        <w:rPr>
          <w:rFonts w:ascii="David" w:hAnsi="David"/>
          <w:b/>
          <w:rtl/>
        </w:rPr>
        <w:tab/>
        <w:t>להגיד אם זה.</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ש:</w:t>
      </w:r>
      <w:r>
        <w:rPr>
          <w:rFonts w:ascii="David" w:hAnsi="David"/>
          <w:b/>
          <w:rtl/>
        </w:rPr>
        <w:tab/>
        <w:t>אתה, תקשיב אמיר אתה הגשת תצהיר.</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ת:</w:t>
      </w:r>
      <w:r>
        <w:rPr>
          <w:rFonts w:ascii="David" w:hAnsi="David"/>
          <w:b/>
          <w:rtl/>
        </w:rPr>
        <w:tab/>
        <w:t>אם ההוצאות יותר. אני הבנתי שאני הגשתי את התצהיר, הבנתי את השאלה שלך.</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ש:</w:t>
      </w:r>
      <w:r>
        <w:rPr>
          <w:rFonts w:ascii="David" w:hAnsi="David"/>
          <w:b/>
          <w:rtl/>
        </w:rPr>
        <w:tab/>
        <w:t>אם אתה מגיש תצהיר אתה צריך לא רק להגיד מאיפה אתה מביא את זה.</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ת:</w:t>
      </w:r>
      <w:r>
        <w:rPr>
          <w:rFonts w:ascii="David" w:hAnsi="David"/>
          <w:b/>
          <w:rtl/>
        </w:rPr>
        <w:tab/>
        <w:t>אבל אני לא יודע כל כך אם ההוצאות גדולות או קטנות בין בגירים לקטינים, אני לא.</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ש:</w:t>
      </w:r>
      <w:r>
        <w:rPr>
          <w:rFonts w:ascii="David" w:hAnsi="David"/>
          <w:b/>
          <w:rtl/>
        </w:rPr>
        <w:tab/>
        <w:t>אז אתה אומר.</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ת:</w:t>
      </w:r>
      <w:r>
        <w:rPr>
          <w:rFonts w:ascii="David" w:hAnsi="David"/>
          <w:b/>
          <w:rtl/>
        </w:rPr>
        <w:tab/>
        <w:t>עבדתי בזה כל כך.</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ש:</w:t>
      </w:r>
      <w:r>
        <w:rPr>
          <w:rFonts w:ascii="David" w:hAnsi="David"/>
          <w:b/>
          <w:rtl/>
        </w:rPr>
        <w:tab/>
        <w:t>שזה לא, אז ההוצאות לא שונות, זה מה שאתה אומר, אז אתה חוזר בך בטענה שההוצאות של ילדים בני 13, שאני טוענת שהם פי 8 מקטנים, הם לא יותר נמוכים, כלומר אותם הוצאות של ילדים בני 13, אותם הוצאות שנפסק בפסק הדין. נכון או לא נכון?</w:t>
      </w:r>
    </w:p>
    <w:p w:rsidR="00325B48" w:rsidRDefault="00325B48" w:rsidP="00DA6286">
      <w:pPr>
        <w:tabs>
          <w:tab w:val="left" w:pos="1417"/>
        </w:tabs>
        <w:spacing w:before="240" w:after="240" w:line="360" w:lineRule="auto"/>
        <w:ind w:left="1417" w:right="567" w:hanging="283"/>
        <w:jc w:val="both"/>
        <w:rPr>
          <w:rFonts w:ascii="David" w:hAnsi="David"/>
          <w:b/>
          <w:rtl/>
        </w:rPr>
      </w:pPr>
      <w:r>
        <w:rPr>
          <w:rFonts w:ascii="David" w:hAnsi="David"/>
          <w:b/>
          <w:rtl/>
        </w:rPr>
        <w:t>ת:</w:t>
      </w:r>
      <w:r>
        <w:rPr>
          <w:rFonts w:ascii="David" w:hAnsi="David"/>
          <w:b/>
          <w:rtl/>
        </w:rPr>
        <w:tab/>
        <w:t>לא יודע. לא יודע, אין לי מושג." (ר' עמודים 39-37 לפרוטוקול הדיון).</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אשר על כן, הואיל ופסק דין בעניין מזונותיהם של קטינים צופה פני עתיד ואך צפוי כי על רצף הזמן יחולו שינויים כאלה ואחרים בצרכיהם של הקטינים; עת התובע כשל להוכיח טענתו לשינוי בהוצאות הקטינים והואיל וממילא צרכי הקטינים נקבעו לכתחילה על הצד הנמוך, בהתאם לחזקת הצרכים המינימאליים לקטין שנקבעה בפסיקה בעת מתן פסק הדין (1,300 ₪ לכל קטין), מצאתי לדחות עתירת התובע להפחתת המזונות בעילה הכרוכה אחר גילאי הקטינים ושינוי בהוצאותיהם. </w:t>
      </w:r>
    </w:p>
    <w:p w:rsidR="00325B48" w:rsidRDefault="00325B48" w:rsidP="00325B48">
      <w:pPr>
        <w:pStyle w:val="ad"/>
        <w:tabs>
          <w:tab w:val="left" w:pos="567"/>
        </w:tabs>
        <w:spacing w:before="240" w:after="240" w:line="360" w:lineRule="auto"/>
        <w:ind w:left="567" w:hanging="567"/>
        <w:contextualSpacing w:val="0"/>
        <w:jc w:val="both"/>
        <w:rPr>
          <w:rFonts w:ascii="David" w:hAnsi="David" w:cs="David"/>
          <w:sz w:val="24"/>
          <w:szCs w:val="24"/>
        </w:rPr>
      </w:pPr>
    </w:p>
    <w:p w:rsidR="00325B48" w:rsidRDefault="00325B48" w:rsidP="00325B48">
      <w:pPr>
        <w:tabs>
          <w:tab w:val="left" w:pos="567"/>
        </w:tabs>
        <w:spacing w:before="240" w:after="240" w:line="360" w:lineRule="auto"/>
        <w:ind w:left="567" w:hanging="567"/>
        <w:jc w:val="both"/>
        <w:rPr>
          <w:rFonts w:ascii="David" w:hAnsi="David"/>
          <w:u w:val="single"/>
        </w:rPr>
      </w:pPr>
      <w:r>
        <w:rPr>
          <w:rFonts w:ascii="David" w:hAnsi="David"/>
          <w:u w:val="single"/>
          <w:rtl/>
        </w:rPr>
        <w:t>טענת התובע לשינוי נסיבות עקב מגורי הנתבעת עם בן זוגה:</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התובע טען, כי הנתבעת מתגוררת עם בן זוגה מזה כ- 8 שנים ועל כן אין הוא מחויב לשאת בהוצאות מדורו ויש בכך כדי להוות שינוי נסיבות מהותי המצדיק הפחתת גובה המזונות.</w:t>
      </w:r>
    </w:p>
    <w:p w:rsidR="00325B48" w:rsidRDefault="00325B48" w:rsidP="00E3785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הנתבעת הכחישה בתצהירה, כי מתגוררת עם בן זוגה (ר' סעיף 17 לתצהיר הנתבעת). בחקירתה הנגדית העידה הנתבעת, כי מקיימת קשר זוגי עם בן זוגה מזה תשע שנים אולם הם אינם מתגוררים יחדיו. הנתבעת העידה, ועדותה לא נסתרה, כי בן זוגה לן בביתה בימי שלישי ובכל שבת שנייה כאשר כל אחד מהם מוסיף ומתגורר בבית משלו (ר' עמ' 142, ש' 2-34 לפרוטוקול הדיון), זאת בין היתר בראי הקשיים שחווה הקטין </w:t>
      </w:r>
      <w:r w:rsidR="00E37856">
        <w:rPr>
          <w:rFonts w:ascii="David" w:hAnsi="David" w:cs="David" w:hint="cs"/>
          <w:sz w:val="24"/>
          <w:szCs w:val="24"/>
          <w:rtl/>
        </w:rPr>
        <w:t>נ'</w:t>
      </w:r>
      <w:r>
        <w:rPr>
          <w:rFonts w:ascii="David" w:hAnsi="David" w:cs="David"/>
          <w:sz w:val="24"/>
          <w:szCs w:val="24"/>
          <w:rtl/>
        </w:rPr>
        <w:t xml:space="preserve"> (ר' עמ' 142, ש' 28-26 לפרוטוקול).</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התובע לא הוכיח טענתו, וכל שנטען מצדו הוא, כי בן זוגה של הנתבעת נצפה "כל יום" בחניית הנתבעת (ר' סעיף 43 לסיכומי התובע),</w:t>
      </w:r>
      <w:r w:rsidR="00DA6286">
        <w:rPr>
          <w:rFonts w:ascii="David" w:hAnsi="David" w:cs="David"/>
          <w:sz w:val="24"/>
          <w:szCs w:val="24"/>
          <w:rtl/>
        </w:rPr>
        <w:t xml:space="preserve"> וכי טענה זו נותרה טענה בעלמא, </w:t>
      </w:r>
      <w:r w:rsidR="00DA6286">
        <w:rPr>
          <w:rFonts w:ascii="David" w:hAnsi="David" w:cs="David" w:hint="cs"/>
          <w:sz w:val="24"/>
          <w:szCs w:val="24"/>
          <w:rtl/>
        </w:rPr>
        <w:t>ו</w:t>
      </w:r>
      <w:r>
        <w:rPr>
          <w:rFonts w:ascii="David" w:hAnsi="David" w:cs="David"/>
          <w:sz w:val="24"/>
          <w:szCs w:val="24"/>
          <w:rtl/>
        </w:rPr>
        <w:t>לא הובא לה כל תימוכין.</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מעבר לדרוש יצוין, כי אף אם הייתה הנתבעת מתגוררת עם בן זוגה, ובעניינו כאמור לא הוכח הדבר, הרי שברי כי מגורים משותפים עם צד ג' כשלעצמם אינם מאיינים את חובת האב לשאת במדור הקטינים, אלא לכל היותר מפחיתים את גובה ההוצאה בהתאם לכלל הצריכה השולית הפוחתת (ר' תמ"ש (משפחה תל אביב-יפו) 15007-05-15 </w:t>
      </w:r>
      <w:r>
        <w:rPr>
          <w:rFonts w:ascii="David" w:hAnsi="David" w:cs="David"/>
          <w:b/>
          <w:bCs/>
          <w:sz w:val="24"/>
          <w:szCs w:val="24"/>
          <w:rtl/>
        </w:rPr>
        <w:t>ד.א נ' ה.א</w:t>
      </w:r>
      <w:r>
        <w:rPr>
          <w:rFonts w:ascii="David" w:hAnsi="David" w:cs="David"/>
          <w:sz w:val="24"/>
          <w:szCs w:val="24"/>
          <w:rtl/>
        </w:rPr>
        <w:t xml:space="preserve"> (נבו 15.12.2016) ופסקי הדין המאוזכרים שם בפסקה 31 לפסק הדין). </w:t>
      </w:r>
    </w:p>
    <w:p w:rsidR="00325B48" w:rsidRDefault="00325B48" w:rsidP="00DA628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כאמור, במקרה דנן, התובע לא עמד בנטל הרובץ </w:t>
      </w:r>
      <w:r w:rsidR="00DA6286">
        <w:rPr>
          <w:rFonts w:ascii="David" w:hAnsi="David" w:cs="David" w:hint="cs"/>
          <w:sz w:val="24"/>
          <w:szCs w:val="24"/>
          <w:rtl/>
        </w:rPr>
        <w:t>לפתחו</w:t>
      </w:r>
      <w:r>
        <w:rPr>
          <w:rFonts w:ascii="David" w:hAnsi="David" w:cs="David"/>
          <w:sz w:val="24"/>
          <w:szCs w:val="24"/>
          <w:rtl/>
        </w:rPr>
        <w:t xml:space="preserve"> להוכיח מגורים משותפים של הנתבעת עם בן זוגה, מלבד לינת בן הזוג בבית הנתבעת מעת לעת, בעת שהקטינים מצויים בזמני שהות עם אביהם ובסופי שבוע. כן, לא הוכח כי בן זוגה של האם נושא בתשלומי אחזקת המדור של האם, אלא דווקא הוכח כי האם נושאת בהם בהוראות קבע שיורדות מחשבונה. על כן, לא מצאתי לקבל טענותיו בדבר הפחתת חיובו במדור הקטינים מהקבוע בפסק הדין בגין השינוי הנטען.</w:t>
      </w:r>
    </w:p>
    <w:p w:rsidR="00325B48" w:rsidRDefault="00325B48" w:rsidP="00325B48">
      <w:pPr>
        <w:tabs>
          <w:tab w:val="left" w:pos="567"/>
        </w:tabs>
        <w:spacing w:before="240" w:after="240" w:line="360" w:lineRule="auto"/>
        <w:ind w:left="567" w:hanging="567"/>
        <w:jc w:val="both"/>
        <w:rPr>
          <w:rFonts w:ascii="David" w:hAnsi="David"/>
          <w:b/>
          <w:bCs/>
          <w:u w:val="single"/>
          <w:rtl/>
        </w:rPr>
      </w:pPr>
    </w:p>
    <w:p w:rsidR="00DA6286" w:rsidRDefault="00DA6286" w:rsidP="00325B48">
      <w:pPr>
        <w:tabs>
          <w:tab w:val="left" w:pos="567"/>
        </w:tabs>
        <w:spacing w:before="240" w:after="240" w:line="360" w:lineRule="auto"/>
        <w:ind w:left="567" w:hanging="567"/>
        <w:jc w:val="both"/>
        <w:rPr>
          <w:rFonts w:ascii="David" w:hAnsi="David"/>
          <w:b/>
          <w:bCs/>
          <w:u w:val="single"/>
          <w:rtl/>
        </w:rPr>
      </w:pPr>
    </w:p>
    <w:p w:rsidR="004B3EDC" w:rsidRDefault="004B3EDC" w:rsidP="00325B48">
      <w:pPr>
        <w:tabs>
          <w:tab w:val="left" w:pos="567"/>
        </w:tabs>
        <w:spacing w:before="240" w:after="240" w:line="360" w:lineRule="auto"/>
        <w:ind w:left="567" w:hanging="567"/>
        <w:jc w:val="both"/>
        <w:rPr>
          <w:rFonts w:ascii="David" w:hAnsi="David"/>
          <w:b/>
          <w:bCs/>
          <w:u w:val="single"/>
          <w:rtl/>
        </w:rPr>
      </w:pPr>
    </w:p>
    <w:p w:rsidR="00325B48" w:rsidRDefault="00325B48" w:rsidP="00325B48">
      <w:pPr>
        <w:tabs>
          <w:tab w:val="left" w:pos="567"/>
        </w:tabs>
        <w:spacing w:before="240" w:after="240" w:line="360" w:lineRule="auto"/>
        <w:ind w:left="567" w:hanging="567"/>
        <w:jc w:val="both"/>
        <w:rPr>
          <w:rFonts w:ascii="David" w:hAnsi="David"/>
          <w:b/>
          <w:bCs/>
          <w:u w:val="single"/>
          <w:rtl/>
        </w:rPr>
      </w:pPr>
      <w:r>
        <w:rPr>
          <w:rFonts w:ascii="David" w:hAnsi="David"/>
          <w:b/>
          <w:bCs/>
          <w:u w:val="single"/>
          <w:rtl/>
        </w:rPr>
        <w:t>סוף דבר</w:t>
      </w:r>
    </w:p>
    <w:p w:rsidR="00325B48" w:rsidRDefault="00325B48" w:rsidP="00DA6286">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לאור המקובץ לעיל, לא מצאתי שיש באיזו מטענות התובע ו/או בהצטרפ</w:t>
      </w:r>
      <w:r w:rsidR="00DA6286">
        <w:rPr>
          <w:rFonts w:ascii="David" w:hAnsi="David" w:cs="David" w:hint="cs"/>
          <w:sz w:val="24"/>
          <w:szCs w:val="24"/>
          <w:rtl/>
        </w:rPr>
        <w:t>ן</w:t>
      </w:r>
      <w:r>
        <w:rPr>
          <w:rFonts w:ascii="David" w:hAnsi="David" w:cs="David"/>
          <w:sz w:val="24"/>
          <w:szCs w:val="24"/>
          <w:rtl/>
        </w:rPr>
        <w:t xml:space="preserve"> גם יחד, משום שינוי נסיבות מהותי ובלתי צפוי ממועד מתן פסק הדין ועד היום, שיש בו כדי להצדיק התערבות בפסק הדין והפחתת מזונות הקטינים, ומשכך גם אין מקום להידרש לבחינת מבחני בע"מ 919/15 ודין התביעה להידחות.</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b/>
          <w:bCs/>
          <w:sz w:val="24"/>
          <w:szCs w:val="24"/>
          <w:u w:val="single"/>
          <w:rtl/>
        </w:rPr>
      </w:pPr>
      <w:r>
        <w:rPr>
          <w:rFonts w:ascii="David" w:hAnsi="David" w:cs="David"/>
          <w:sz w:val="24"/>
          <w:szCs w:val="24"/>
          <w:rtl/>
        </w:rPr>
        <w:t>התובע יישא בהוצאות הנתבעת בסך של 15,000 ₪. סכום זה ישולם תוך 30 יום, שאם לא כן יישא הפרשי הצמדה וריבית עד למועד התשלום בפועל.</w:t>
      </w:r>
    </w:p>
    <w:p w:rsidR="00325B48" w:rsidRDefault="00325B48" w:rsidP="00325B48">
      <w:pPr>
        <w:pStyle w:val="ad"/>
        <w:numPr>
          <w:ilvl w:val="0"/>
          <w:numId w:val="1"/>
        </w:numPr>
        <w:tabs>
          <w:tab w:val="left" w:pos="567"/>
        </w:tabs>
        <w:spacing w:before="240" w:after="240" w:line="360" w:lineRule="auto"/>
        <w:ind w:left="567" w:hanging="567"/>
        <w:contextualSpacing w:val="0"/>
        <w:jc w:val="both"/>
        <w:rPr>
          <w:rFonts w:ascii="David" w:hAnsi="David" w:cs="David"/>
          <w:b/>
          <w:bCs/>
          <w:sz w:val="24"/>
          <w:szCs w:val="24"/>
          <w:u w:val="single"/>
        </w:rPr>
      </w:pPr>
      <w:r>
        <w:rPr>
          <w:rFonts w:ascii="David" w:hAnsi="David" w:cs="David"/>
          <w:sz w:val="24"/>
          <w:szCs w:val="24"/>
          <w:rtl/>
        </w:rPr>
        <w:t>המזכירות מתבקשת להמציא פסק הדין לב"כ הצדדים ולסגור התיק.</w:t>
      </w:r>
    </w:p>
    <w:p w:rsidR="00694556" w:rsidRPr="00325B48" w:rsidRDefault="00694556" w:rsidP="00325B48">
      <w:pPr>
        <w:tabs>
          <w:tab w:val="left" w:pos="567"/>
        </w:tabs>
        <w:spacing w:before="240" w:after="240" w:line="360" w:lineRule="auto"/>
        <w:ind w:left="567" w:hanging="567"/>
        <w:jc w:val="both"/>
        <w:rPr>
          <w:rFonts w:ascii="Arial" w:hAnsi="Arial"/>
          <w:noProof w:val="0"/>
          <w:rtl/>
        </w:rPr>
      </w:pPr>
    </w:p>
    <w:p w:rsidR="00694556" w:rsidRDefault="00694556" w:rsidP="00325B48">
      <w:pPr>
        <w:tabs>
          <w:tab w:val="left" w:pos="567"/>
        </w:tabs>
        <w:spacing w:before="240" w:after="240" w:line="360" w:lineRule="auto"/>
        <w:ind w:left="567" w:hanging="567"/>
        <w:jc w:val="both"/>
        <w:rPr>
          <w:rFonts w:ascii="Arial" w:hAnsi="Arial"/>
          <w:noProof w:val="0"/>
          <w:rtl/>
        </w:rPr>
      </w:pPr>
    </w:p>
    <w:p w:rsidR="00694556" w:rsidRDefault="00005C8B" w:rsidP="00325B48">
      <w:pPr>
        <w:tabs>
          <w:tab w:val="left" w:pos="567"/>
        </w:tabs>
        <w:spacing w:before="240" w:after="240" w:line="360" w:lineRule="auto"/>
        <w:ind w:left="567" w:hanging="567"/>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ספטמבר 2023</w:t>
          </w:r>
        </w:sdtContent>
      </w:sdt>
      <w:r>
        <w:rPr>
          <w:rFonts w:ascii="Arial" w:hAnsi="Arial"/>
          <w:noProof w:val="0"/>
          <w:rtl/>
        </w:rPr>
        <w:t>, בהעדר הצדדים.</w:t>
      </w:r>
    </w:p>
    <w:p w:rsidR="005B0F49" w:rsidRDefault="005B0F49" w:rsidP="00325B48">
      <w:pPr>
        <w:tabs>
          <w:tab w:val="left" w:pos="567"/>
        </w:tabs>
        <w:spacing w:before="240" w:after="240" w:line="360" w:lineRule="auto"/>
        <w:ind w:left="567" w:hanging="567"/>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44D19" w:rsidP="00325B48">
      <w:pPr>
        <w:tabs>
          <w:tab w:val="left" w:pos="567"/>
        </w:tabs>
        <w:spacing w:before="240" w:after="240" w:line="360" w:lineRule="auto"/>
        <w:ind w:left="567" w:hanging="567"/>
        <w:jc w:val="both"/>
      </w:pPr>
      <w:sdt>
        <w:sdtPr>
          <w:rPr>
            <w:rtl/>
          </w:rPr>
          <w:alias w:val="MergeField"/>
          <w:tag w:val="1237"/>
          <w:id w:val="1173065207"/>
        </w:sdtPr>
        <w:sdtEndPr/>
        <w:sdtContent>
          <w:r w:rsidR="00E37856">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325B48">
      <w:pPr>
        <w:tabs>
          <w:tab w:val="left" w:pos="567"/>
        </w:tabs>
        <w:spacing w:before="240" w:after="240" w:line="360" w:lineRule="auto"/>
        <w:ind w:left="567" w:hanging="567"/>
        <w:jc w:val="both"/>
        <w:rPr>
          <w:rFonts w:ascii="Arial" w:hAnsi="Arial"/>
          <w:noProof w:val="0"/>
          <w:rtl/>
        </w:rPr>
      </w:pPr>
    </w:p>
    <w:p w:rsidR="00694556" w:rsidRDefault="00694556" w:rsidP="00325B48">
      <w:pPr>
        <w:tabs>
          <w:tab w:val="left" w:pos="567"/>
        </w:tabs>
        <w:spacing w:before="240" w:after="240" w:line="360" w:lineRule="auto"/>
        <w:ind w:left="567" w:hanging="567"/>
        <w:jc w:val="both"/>
        <w:rPr>
          <w:rFonts w:ascii="Arial" w:hAnsi="Arial"/>
          <w:noProof w:val="0"/>
          <w:rtl/>
        </w:rPr>
      </w:pPr>
    </w:p>
    <w:p w:rsidR="00694556" w:rsidRDefault="00694556" w:rsidP="00325B48">
      <w:pPr>
        <w:spacing w:before="240" w:after="240"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D19" w:rsidRDefault="00C44D19">
      <w:r>
        <w:separator/>
      </w:r>
    </w:p>
  </w:endnote>
  <w:endnote w:type="continuationSeparator" w:id="0">
    <w:p w:rsidR="00C44D19" w:rsidRDefault="00C4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AF6" w:rsidRDefault="004E0AF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A769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A769E">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AF6" w:rsidRDefault="004E0AF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D19" w:rsidRDefault="00C44D19">
      <w:r>
        <w:separator/>
      </w:r>
    </w:p>
  </w:footnote>
  <w:footnote w:type="continuationSeparator" w:id="0">
    <w:p w:rsidR="00C44D19" w:rsidRDefault="00C44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AF6" w:rsidRDefault="004E0AF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E44DDF" w:rsidP="00D67E52">
          <w:pPr>
            <w:rPr>
              <w:b/>
              <w:bCs/>
              <w:noProof w:val="0"/>
              <w:sz w:val="26"/>
              <w:szCs w:val="26"/>
              <w:rtl/>
            </w:rPr>
          </w:pPr>
          <w:r>
            <w:rPr>
              <w:b/>
              <w:bCs/>
              <w:noProof w:val="0"/>
              <w:sz w:val="26"/>
              <w:szCs w:val="26"/>
              <w:rtl/>
            </w:rPr>
            <w:t>תלה"מ</w:t>
          </w:r>
          <w:r w:rsidR="00005C8B">
            <w:rPr>
              <w:b/>
              <w:bCs/>
              <w:noProof w:val="0"/>
              <w:sz w:val="26"/>
              <w:szCs w:val="26"/>
              <w:rtl/>
            </w:rPr>
            <w:t xml:space="preserve"> </w:t>
          </w:r>
          <w:r>
            <w:rPr>
              <w:b/>
              <w:bCs/>
              <w:noProof w:val="0"/>
              <w:sz w:val="26"/>
              <w:szCs w:val="26"/>
              <w:rtl/>
            </w:rPr>
            <w:t>11042-02-22</w:t>
          </w:r>
          <w:r w:rsidR="00005C8B">
            <w:rPr>
              <w:b/>
              <w:bCs/>
              <w:noProof w:val="0"/>
              <w:sz w:val="26"/>
              <w:szCs w:val="26"/>
              <w:rtl/>
            </w:rPr>
            <w:t xml:space="preserve"> </w:t>
          </w:r>
          <w:r w:rsidR="00D67E52">
            <w:rPr>
              <w:rFonts w:hint="cs"/>
              <w:b/>
              <w:bCs/>
              <w:noProof w:val="0"/>
              <w:sz w:val="26"/>
              <w:szCs w:val="26"/>
              <w:rtl/>
            </w:rPr>
            <w:t>פלוני</w:t>
          </w:r>
          <w:r>
            <w:rPr>
              <w:b/>
              <w:bCs/>
              <w:noProof w:val="0"/>
              <w:sz w:val="26"/>
              <w:szCs w:val="26"/>
              <w:rtl/>
            </w:rPr>
            <w:t xml:space="preserve"> נ' </w:t>
          </w:r>
          <w:r w:rsidR="00D67E52">
            <w:rPr>
              <w:rFonts w:hint="cs"/>
              <w:b/>
              <w:bCs/>
              <w:noProof w:val="0"/>
              <w:sz w:val="26"/>
              <w:szCs w:val="26"/>
              <w:rtl/>
            </w:rPr>
            <w:t>פלונית</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AF6" w:rsidRDefault="004E0A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D06630"/>
    <w:multiLevelType w:val="hybridMultilevel"/>
    <w:tmpl w:val="7AC41A3E"/>
    <w:lvl w:ilvl="0" w:tplc="3F3A18D2">
      <w:start w:val="1"/>
      <w:numFmt w:val="decimal"/>
      <w:lvlText w:val="%1."/>
      <w:lvlJc w:val="left"/>
      <w:pPr>
        <w:ind w:left="360" w:hanging="360"/>
      </w:pPr>
      <w:rPr>
        <w:b w:val="0"/>
        <w:bCs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226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22658&amp;lt;/CaseID&amp;gt;_x000d__x000a_        &amp;lt;CaseMonth&amp;gt;2&amp;lt;/CaseMonth&amp;gt;_x000d__x000a_        &amp;lt;CaseYear&amp;gt;2022&amp;lt;/CaseYear&amp;gt;_x000d__x000a_        &amp;lt;CaseNumber&amp;gt;11042&amp;lt;/CaseNumber&amp;gt;_x000d__x000a_        &amp;lt;NumeratorGroupID&amp;gt;1&amp;lt;/NumeratorGroupID&amp;gt;_x000d__x000a_        &amp;lt;CaseName&amp;gt;אמיר נ&amp;#39; אמיר&amp;lt;/CaseName&amp;gt;_x000d__x000a_        &amp;lt;CourtID&amp;gt;41&amp;lt;/CourtID&amp;gt;_x000d__x000a_        &amp;lt;CaseTypeID&amp;gt;10262&amp;lt;/CaseTypeID&amp;gt;_x000d__x000a_        &amp;lt;CaseInterestID&amp;gt;10118&amp;lt;/CaseInterestID&amp;gt;_x000d__x000a_        &amp;lt;CaseJudgeName&amp;gt;שני כ&amp;quot;ץ&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42-02-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02T10:30:00+03:00&amp;lt;/CasePreviousSessionDate&amp;gt;_x000d__x000a_        &amp;lt;CaseNextDeterminingTask&amp;gt;34&amp;lt;/CaseNextDeterminingTask&amp;gt;_x000d__x000a_        &amp;lt;TemporaryAidStatus /&amp;gt;_x000d__x000a_        &amp;lt;CaseOpenDate&amp;gt;2022-02-03T12:3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זמן שירותי הקלטה לדיון ביום 2.4.23 ונמסר לשיר &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22658&amp;lt;/CaseID&amp;gt;_x000d__x000a_        &amp;lt;CaseMonth&amp;gt;2&amp;lt;/CaseMonth&amp;gt;_x000d__x000a_        &amp;lt;CaseYear&amp;gt;2022&amp;lt;/CaseYear&amp;gt;_x000d__x000a_        &amp;lt;CaseNumber&amp;gt;11042&amp;lt;/CaseNumber&amp;gt;_x000d__x000a_        &amp;lt;NumeratorGroupID&amp;gt;1&amp;lt;/NumeratorGroupID&amp;gt;_x000d__x000a_        &amp;lt;CaseName&amp;gt;אמיר נ&amp;#39; אמיר&amp;lt;/CaseName&amp;gt;_x000d__x000a_        &amp;lt;CourtID&amp;gt;41&amp;lt;/CourtID&amp;gt;_x000d__x000a_        &amp;lt;CaseTypeID&amp;gt;10262&amp;lt;/CaseTypeID&amp;gt;_x000d__x000a_        &amp;lt;CaseInterestID&amp;gt;10118&amp;lt;/CaseInterestID&amp;gt;_x000d__x000a_        &amp;lt;CaseJudgeName&amp;gt;שני כ&amp;quot;ץ&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42-02-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2-03T12:3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זמן שירותי הקלטה לדיון ביום 2.4.23 ונמסר לשי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18T17:55:09.860452+03:00&amp;lt;/DecisionStatusChangeDate&amp;gt;_x000d__x000a_        &amp;lt;DecisionSignatureDate&amp;gt;2023-09-18T17:55:09.860452+03:00&amp;lt;/DecisionSignatureDate&amp;gt;_x000d__x000a_        &amp;lt;DecisionSignatureUserID&amp;gt;040360844@GOV.IL&amp;lt;/DecisionSignatureUserID&amp;gt;_x000d__x000a_        &amp;lt;DecisionCreateDate&amp;gt;2023-09-18T17:55:09.860452+03:00&amp;lt;/DecisionCreateDate&amp;gt;_x000d__x000a_        &amp;lt;DecisionChangeDate&amp;gt;2023-09-18T17:55:09.860452+03:00&amp;lt;/DecisionChangeDate&amp;gt;_x000d__x000a_        &amp;lt;DecisionChangeUserID&amp;gt;0403608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02265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1"/>
    <w:docVar w:name="NGCS.TemplateProceedingID" w:val="3"/>
    <w:docVar w:name="SelectedDocumentID" w:val="40887856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13ECA"/>
    <w:rsid w:val="00121F97"/>
    <w:rsid w:val="001277D7"/>
    <w:rsid w:val="00132017"/>
    <w:rsid w:val="0014234E"/>
    <w:rsid w:val="00145A87"/>
    <w:rsid w:val="001C4003"/>
    <w:rsid w:val="001F5474"/>
    <w:rsid w:val="00201FE5"/>
    <w:rsid w:val="00225AAD"/>
    <w:rsid w:val="002352F7"/>
    <w:rsid w:val="0027277D"/>
    <w:rsid w:val="002A769E"/>
    <w:rsid w:val="00313052"/>
    <w:rsid w:val="00325B48"/>
    <w:rsid w:val="00381D3A"/>
    <w:rsid w:val="003823DA"/>
    <w:rsid w:val="0043595F"/>
    <w:rsid w:val="0047645A"/>
    <w:rsid w:val="004B0926"/>
    <w:rsid w:val="004B3EDC"/>
    <w:rsid w:val="004D49A3"/>
    <w:rsid w:val="004D50AC"/>
    <w:rsid w:val="004E0AF6"/>
    <w:rsid w:val="004E6E3C"/>
    <w:rsid w:val="005124F1"/>
    <w:rsid w:val="00530BAD"/>
    <w:rsid w:val="00541598"/>
    <w:rsid w:val="00547DB7"/>
    <w:rsid w:val="00567324"/>
    <w:rsid w:val="00586ADF"/>
    <w:rsid w:val="005B0F49"/>
    <w:rsid w:val="005C7EC6"/>
    <w:rsid w:val="005D4BDB"/>
    <w:rsid w:val="00622BAA"/>
    <w:rsid w:val="00625C89"/>
    <w:rsid w:val="00633C4F"/>
    <w:rsid w:val="0064231E"/>
    <w:rsid w:val="00671BD5"/>
    <w:rsid w:val="006805C1"/>
    <w:rsid w:val="006816EC"/>
    <w:rsid w:val="00694556"/>
    <w:rsid w:val="00694A51"/>
    <w:rsid w:val="006E1A53"/>
    <w:rsid w:val="007056AA"/>
    <w:rsid w:val="00744F41"/>
    <w:rsid w:val="007A24FE"/>
    <w:rsid w:val="007A35AA"/>
    <w:rsid w:val="007D2A6E"/>
    <w:rsid w:val="007F1048"/>
    <w:rsid w:val="00820005"/>
    <w:rsid w:val="00846D27"/>
    <w:rsid w:val="008610A7"/>
    <w:rsid w:val="008A29A6"/>
    <w:rsid w:val="008E1332"/>
    <w:rsid w:val="00903896"/>
    <w:rsid w:val="00927813"/>
    <w:rsid w:val="00944D13"/>
    <w:rsid w:val="00957C90"/>
    <w:rsid w:val="009B70F6"/>
    <w:rsid w:val="009C358E"/>
    <w:rsid w:val="009E0263"/>
    <w:rsid w:val="00A267CF"/>
    <w:rsid w:val="00A43458"/>
    <w:rsid w:val="00AC4E19"/>
    <w:rsid w:val="00AD36F9"/>
    <w:rsid w:val="00AF1ED6"/>
    <w:rsid w:val="00B32C61"/>
    <w:rsid w:val="00B368FE"/>
    <w:rsid w:val="00B80CBD"/>
    <w:rsid w:val="00BC3369"/>
    <w:rsid w:val="00BF77EE"/>
    <w:rsid w:val="00C32E0F"/>
    <w:rsid w:val="00C42BF9"/>
    <w:rsid w:val="00C44D19"/>
    <w:rsid w:val="00C83E56"/>
    <w:rsid w:val="00CC63CE"/>
    <w:rsid w:val="00D319B3"/>
    <w:rsid w:val="00D36A71"/>
    <w:rsid w:val="00D53924"/>
    <w:rsid w:val="00D60849"/>
    <w:rsid w:val="00D67E52"/>
    <w:rsid w:val="00D96D8C"/>
    <w:rsid w:val="00DA6286"/>
    <w:rsid w:val="00DA755B"/>
    <w:rsid w:val="00DD337E"/>
    <w:rsid w:val="00DD4DF1"/>
    <w:rsid w:val="00E00B6F"/>
    <w:rsid w:val="00E37856"/>
    <w:rsid w:val="00E44DDF"/>
    <w:rsid w:val="00E54642"/>
    <w:rsid w:val="00E97908"/>
    <w:rsid w:val="00EF3ED0"/>
    <w:rsid w:val="00F17E56"/>
    <w:rsid w:val="00F6489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25B4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3489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27C7B"/>
    <w:rsid w:val="00B40AEB"/>
    <w:rsid w:val="00B65812"/>
    <w:rsid w:val="00C51D2F"/>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מיכל אמיר</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237579094</CasePartyID>
        <PartyTypeID>2</PartyTypeID>
        <ActivityStatusID>1</ActivityStatusID>
        <PartyAliasID>21</PartyAliasID>
        <PartyAliasName>בא כוח נתבעים</PartyAliasName>
        <LegalEntityID>414833</LegalEntityID>
        <CaseLegalEntityID>118728599</CaseLegalEntityID>
        <AuthenticationTypeID>4</AuthenticationTypeID>
        <AuthenticationTypeName>מ.ר.</AuthenticationTypeName>
        <LegalEntityNumber>41617</LegalEntityNumber>
        <IsMainPartyType>true</IsMainPartyType>
        <CaseDisplayIdentifier>11042-02-22</CaseDisplayIdentifier>
        <CaseTypeID>10262</CaseTypeID>
        <CaseTypeName>תביעה לאחר הסדר התדיינויות במשפחה (תלה"מ)</CaseTypeName>
        <CaseName>אמיר נ' אמיר</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עופר אמיר</FullName>
        <FirstName>עופר</FirstName>
        <LastName>אמיר</LastName>
        <PartyPropertyName/>
        <AuthenticationTypeAndNumber>ת"ז 033473893</AuthenticationTypeAndNumber>
        <RepresentatedOrRepresentativesNames>שרון שוחט אביב</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237029988</CasePartyID>
        <PartyTypeID>1</PartyTypeID>
        <ActivityStatusID>1</ActivityStatusID>
        <PartyAliasID>1</PartyAliasID>
        <PartyAliasName>תובע</PartyAliasName>
        <OrdinalNumber>1</OrdinalNumber>
        <LegalEntityID>34392734</LegalEntityID>
        <CaseLegalEntityID>118560280</CaseLegalEntityID>
        <AuthenticationTypeID>1</AuthenticationTypeID>
        <AuthenticationTypeName>ת"ז</AuthenticationTypeName>
        <LegalEntityNumber>033473893</LegalEntityNumber>
        <IsMainPartyType>true</IsMainPartyType>
        <CaseDisplayIdentifier>11042-02-22</CaseDisplayIdentifier>
        <CaseTypeID>10262</CaseTypeID>
        <CaseTypeName>תביעה לאחר הסדר התדיינויות במשפחה (תלה"מ)</CaseTypeName>
        <CaseName>אמיר נ' אמיר</CaseName>
        <FullAddress>פרי מגדים 11\117 אופקים </FullAddress>
        <MotionID>0</MotionID>
        <CasePleaID>0</CasePleaID>
        <FatherName>יצחק</FatherName>
        <LinkedCaseID>0</LinkedCaseID>
        <PartyID>1</PartyID>
        <CasePartyCategoryID>2</CasePartyCategoryID>
        <LegalEntityAddressID>86149931</LegalEntityAddressID>
        <PleaTypeID>4</PleaTypeID>
        <GroupPartyAlias>תובעים</GroupPartyAlias>
        <IsConverted>false</IsConverted>
        <LegalEntityRegisteredNameID>4664532</LegalEntityRegisteredNameID>
        <LegalEntityNameID>92647148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עופר אמיר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שרון שוחט אביב</FullName>
        <FirstName>שרון</FirstName>
        <LastName>שוחט אביב</LastName>
        <PartyPropertyName/>
        <AuthenticationTypeAndNumber>מ.ר. 74732</AuthenticationTypeAndNumber>
        <RepresentatedOrRepresentativesNames>עופר אמיר</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237029989</CasePartyID>
        <PartyTypeID>2</PartyTypeID>
        <ActivityStatusID>1</ActivityStatusID>
        <PartyAliasID>20</PartyAliasID>
        <PartyAliasName>בא כוח תובעים</PartyAliasName>
        <OrdinalNumber>1</OrdinalNumber>
        <LegalEntityID>75057749</LegalEntityID>
        <CaseLegalEntityID>118560281</CaseLegalEntityID>
        <AuthenticationTypeID>4</AuthenticationTypeID>
        <AuthenticationTypeName>מ.ר.</AuthenticationTypeName>
        <LegalEntityNumber>74732</LegalEntityNumber>
        <IsMainPartyType>true</IsMainPartyType>
        <CaseDisplayIdentifier>11042-02-22</CaseDisplayIdentifier>
        <CaseTypeID>10262</CaseTypeID>
        <CaseTypeName>תביעה לאחר הסדר התדיינויות במשפחה (תלה"מ)</CaseTypeName>
        <CaseName>אמיר נ' אמיר</CaseName>
        <FullAddress>הרצל 118 באר שבע קומה א</FullAddress>
        <EmailAddress>sharonavivlaw@gmail.com</EmailAddress>
        <MotionID>0</MotionID>
        <CasePleaID>0</CasePleaID>
        <LinkedCaseID>0</LinkedCaseID>
        <PartyID>1</PartyID>
        <CasePartyCategoryID>2</CasePartyCategoryID>
        <LegalEntityAddressID>80267638</LegalEntityAddressID>
        <LegalEntityEmailAddressID>67934009</LegalEntityEmailAddressID>
        <PleaTypeID>4</PleaTypeID>
        <LawyerOfficeName>משרד עו"ד שרון אביב</LawyerOfficeName>
        <LawyerOfficeID>75057750</LawyerOfficeID>
        <GroupPartyAlias/>
        <IsConverted>false</IsConverted>
        <LegalEntityNameID>94524880</LegalEntityNameID>
        <RepresentatedNamesOfAssistant/>
        <LegalEntityTypeID>4</LegalEntityTypeID>
        <IsVerdictExists>false</IsVerdictExists>
        <IsAsirAzir>false</IsAsirAzir>
        <IsPublicationProhibited>false</IsPublicationProhibited>
        <PublicationProhibitedFullName>שרון שוחט אביב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אמיר</FullName>
        <FirstName>מיכל</FirstName>
        <LastName>אמיר</LastName>
        <PartyPropertyName/>
        <AuthenticationTypeAndNumber>ת"ז 040587214</AuthenticationTypeAndNumber>
        <RepresentatedOrRepresentativesNames>כרמל מזוז</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237029990</CasePartyID>
        <PartyTypeID>1</PartyTypeID>
        <ActivityStatusID>1</ActivityStatusID>
        <PartyAliasID>2</PartyAliasID>
        <PartyAliasName>נתבע</PartyAliasName>
        <OrdinalNumber>1</OrdinalNumber>
        <LegalEntityID>34414789</LegalEntityID>
        <CaseLegalEntityID>118560282</CaseLegalEntityID>
        <AuthenticationTypeID>1</AuthenticationTypeID>
        <AuthenticationTypeName>ת"ז</AuthenticationTypeName>
        <LegalEntityNumber>040587214</LegalEntityNumber>
        <IsMainPartyType>true</IsMainPartyType>
        <CaseDisplayIdentifier>11042-02-22</CaseDisplayIdentifier>
        <CaseTypeID>10262</CaseTypeID>
        <CaseTypeName>תביעה לאחר הסדר התדיינויות במשפחה (תלה"מ)</CaseTypeName>
        <CaseName>אמיר נ' אמיר</CaseName>
        <FullAddress>ירושלים  1\89 אופקים </FullAddress>
        <MotionID>0</MotionID>
        <CasePleaID>0</CasePleaID>
        <FatherName>יוסף</FatherName>
        <LinkedCaseID>0</LinkedCaseID>
        <PartyID>2</PartyID>
        <CasePartyCategoryID>2</CasePartyCategoryID>
        <LegalEntityAddressID>86149932</LegalEntityAddressID>
        <PleaTypeID>4</PleaTypeID>
        <GroupPartyAlias>נתבעים</GroupPartyAlias>
        <IsConverted>false</IsConverted>
        <LegalEntityRegisteredNameID>4664533</LegalEntityRegisteredNameID>
        <LegalEntityNameID>92647149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אמיר</PublicationProhibitedFullName>
      </CaseParties>
    </CasePartiesSelectionDS>
    <DecisionName>פסק דין  שניתנה ע"י  שני כ"ץ</DecisionName>
    <CourtDisplayName>בית משפט לענייני משפחה בבאר שבע</CourtDisplayName>
    <IsCaseJudgePanel>false</IsCaseJudgePanel>
    <DecisionSignatureDate>2023-09-18T17:55:09.860452+03:00</DecisionSignatureDate>
    <OpenCaseDate>2022-02-03T12:32:00+02:00</OpenCaseDate>
    <CaseFeeSum>0.000</CaseFeeSum>
    <DecisionTypeID>2</DecisionTypeID>
    <DecisionSignatureUserName>שני כ"ץ</DecisionSignatureUserName>
    <DecisionSignatureDateHebrew>2023-09-18T17:55:09.860452+03:00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אמיר נ' אמיר</CaseName>
    <DecisionNumberInCase>9</DecisionNumberInCase>
  </dt_Decision>
  <dt_DecisionCase>
    <DecisionID>0</DecisionID>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מיכל אמיר</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237579094</CasePartyID>
        <PartyTypeID>2</PartyTypeID>
        <ActivityStatusID>1</ActivityStatusID>
        <PartyAliasID>21</PartyAliasID>
        <PartyAliasName>בא כוח נתבעים</PartyAliasName>
        <LegalEntityID>414833</LegalEntityID>
        <CaseLegalEntityID>118728599</CaseLegalEntityID>
        <AuthenticationTypeID>4</AuthenticationTypeID>
        <AuthenticationTypeName>מ.ר.</AuthenticationTypeName>
        <LegalEntityNumber>41617</LegalEntityNumber>
        <IsMainPartyType>true</IsMainPartyType>
        <CaseDisplayIdentifier>11042-02-22</CaseDisplayIdentifier>
        <CaseTypeID>10262</CaseTypeID>
        <CaseTypeName>תביעה לאחר הסדר התדיינויות במשפחה (תלה"מ)</CaseTypeName>
        <CaseName>אמיר נ' אמיר</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עופר אמיר</FullName>
        <FirstName>עופר</FirstName>
        <LastName>אמיר</LastName>
        <PartyPropertyName/>
        <AuthenticationTypeAndNumber>ת"ז 033473893</AuthenticationTypeAndNumber>
        <RepresentatedOrRepresentativesNames>שרון שוחט אביב</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237029988</CasePartyID>
        <PartyTypeID>1</PartyTypeID>
        <ActivityStatusID>1</ActivityStatusID>
        <PartyAliasID>1</PartyAliasID>
        <PartyAliasName>תובע</PartyAliasName>
        <OrdinalNumber>1</OrdinalNumber>
        <LegalEntityID>34392734</LegalEntityID>
        <CaseLegalEntityID>118560280</CaseLegalEntityID>
        <AuthenticationTypeID>1</AuthenticationTypeID>
        <AuthenticationTypeName>ת"ז</AuthenticationTypeName>
        <LegalEntityNumber>033473893</LegalEntityNumber>
        <IsMainPartyType>true</IsMainPartyType>
        <CaseDisplayIdentifier>11042-02-22</CaseDisplayIdentifier>
        <CaseTypeID>10262</CaseTypeID>
        <CaseTypeName>תביעה לאחר הסדר התדיינויות במשפחה (תלה"מ)</CaseTypeName>
        <CaseName>אמיר נ' אמיר</CaseName>
        <FullAddress>פרי מגדים 11\117 אופקים </FullAddress>
        <MotionID>0</MotionID>
        <CasePleaID>0</CasePleaID>
        <FatherName>יצחק</FatherName>
        <LinkedCaseID>0</LinkedCaseID>
        <PartyID>1</PartyID>
        <CasePartyCategoryID>2</CasePartyCategoryID>
        <LegalEntityAddressID>86149931</LegalEntityAddressID>
        <PleaTypeID>4</PleaTypeID>
        <GroupPartyAlias>תובעים</GroupPartyAlias>
        <IsConverted>false</IsConverted>
        <LegalEntityRegisteredNameID>4664532</LegalEntityRegisteredNameID>
        <LegalEntityNameID>92647148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עופר אמיר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שרון שוחט אביב</FullName>
        <FirstName>שרון</FirstName>
        <LastName>שוחט אביב</LastName>
        <PartyPropertyName/>
        <AuthenticationTypeAndNumber>מ.ר. 74732</AuthenticationTypeAndNumber>
        <RepresentatedOrRepresentativesNames>עופר אמיר</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237029989</CasePartyID>
        <PartyTypeID>2</PartyTypeID>
        <ActivityStatusID>1</ActivityStatusID>
        <PartyAliasID>20</PartyAliasID>
        <PartyAliasName>בא כוח תובעים</PartyAliasName>
        <OrdinalNumber>1</OrdinalNumber>
        <LegalEntityID>75057749</LegalEntityID>
        <CaseLegalEntityID>118560281</CaseLegalEntityID>
        <AuthenticationTypeID>4</AuthenticationTypeID>
        <AuthenticationTypeName>מ.ר.</AuthenticationTypeName>
        <LegalEntityNumber>74732</LegalEntityNumber>
        <IsMainPartyType>true</IsMainPartyType>
        <CaseDisplayIdentifier>11042-02-22</CaseDisplayIdentifier>
        <CaseTypeID>10262</CaseTypeID>
        <CaseTypeName>תביעה לאחר הסדר התדיינויות במשפחה (תלה"מ)</CaseTypeName>
        <CaseName>אמיר נ' אמיר</CaseName>
        <FullAddress>הרצל 118 באר שבע קומה א</FullAddress>
        <EmailAddress>sharonavivlaw@gmail.com</EmailAddress>
        <MotionID>0</MotionID>
        <CasePleaID>0</CasePleaID>
        <LinkedCaseID>0</LinkedCaseID>
        <PartyID>1</PartyID>
        <CasePartyCategoryID>2</CasePartyCategoryID>
        <LegalEntityAddressID>80267638</LegalEntityAddressID>
        <LegalEntityEmailAddressID>67934009</LegalEntityEmailAddressID>
        <PleaTypeID>4</PleaTypeID>
        <LawyerOfficeName>משרד עו"ד שרון אביב</LawyerOfficeName>
        <LawyerOfficeID>75057750</LawyerOfficeID>
        <GroupPartyAlias/>
        <IsConverted>false</IsConverted>
        <LegalEntityNameID>94524880</LegalEntityNameID>
        <RepresentatedNamesOfAssistant/>
        <LegalEntityTypeID>4</LegalEntityTypeID>
        <IsVerdictExists>false</IsVerdictExists>
        <IsAsirAzir>false</IsAsirAzir>
        <IsPublicationProhibited>false</IsPublicationProhibited>
        <PublicationProhibitedFullName>שרון שוחט אביב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אמיר</FullName>
        <FirstName>מיכל</FirstName>
        <LastName>אמיר</LastName>
        <PartyPropertyName/>
        <AuthenticationTypeAndNumber>ת"ז 040587214</AuthenticationTypeAndNumber>
        <RepresentatedOrRepresentativesNames>כרמל מזוז</RepresentatedOrRepresentativesNames>
        <RepresentatedOrRepresentativesCount>1</RepresentatedOrRepresentativesCount>
        <InvitedBy/>
        <CaseID>79022658</CaseID>
        <CaseJudicialPersonPresentationDS>
          <CaseJudicalPersonActive>
            <CaseID>79022658</CaseID>
            <JudicialPersonID>040360844@GOV.IL</JudicialPersonID>
            <JudicialPersonTypeID>1</JudicialPersonTypeID>
            <JudicialTypeID>1</JudicialTypeID>
            <IsChairman>false</IsChairman>
            <TreatmentStartDate>2022-03-09T15:50:50.067+02:00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237029990</CasePartyID>
        <PartyTypeID>1</PartyTypeID>
        <ActivityStatusID>1</ActivityStatusID>
        <PartyAliasID>2</PartyAliasID>
        <PartyAliasName>נתבע</PartyAliasName>
        <OrdinalNumber>1</OrdinalNumber>
        <LegalEntityID>34414789</LegalEntityID>
        <CaseLegalEntityID>118560282</CaseLegalEntityID>
        <AuthenticationTypeID>1</AuthenticationTypeID>
        <AuthenticationTypeName>ת"ז</AuthenticationTypeName>
        <LegalEntityNumber>040587214</LegalEntityNumber>
        <IsMainPartyType>true</IsMainPartyType>
        <CaseDisplayIdentifier>11042-02-22</CaseDisplayIdentifier>
        <CaseTypeID>10262</CaseTypeID>
        <CaseTypeName>תביעה לאחר הסדר התדיינויות במשפחה (תלה"מ)</CaseTypeName>
        <CaseName>אמיר נ' אמיר</CaseName>
        <FullAddress>ירושלים  1\89 אופקים </FullAddress>
        <MotionID>0</MotionID>
        <CasePleaID>0</CasePleaID>
        <FatherName>יוסף</FatherName>
        <LinkedCaseID>0</LinkedCaseID>
        <PartyID>2</PartyID>
        <CasePartyCategoryID>2</CasePartyCategoryID>
        <LegalEntityAddressID>86149932</LegalEntityAddressID>
        <PleaTypeID>4</PleaTypeID>
        <GroupPartyAlias>נתבעים</GroupPartyAlias>
        <IsConverted>false</IsConverted>
        <LegalEntityRegisteredNameID>4664533</LegalEntityRegisteredNameID>
        <LegalEntityNameID>92647149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אמיר</PublicationProhibitedFullName>
      </CaseParties>
    </CasePartiesSelectionDS>
    <CaseName>אמיר נ' אמיר</CaseName>
    <CaseDisplayIdentifier>11042-02-22</CaseDisplayIdentifier>
    <CaseInterestID>10118</CaseInterestID>
    <CaseTypeShortName>תלה"מ</CaseTypeShortName>
  </dt_DecisionCase>
  <dt_DecisionJudgePanel>
    <JudgeID>040360844@GOV.IL</JudgeID>
    <DisplayName>שני כ"ץ</DisplayName>
    <RoleName>שופט</RoleName>
    <UserTitleName>שופטת</UserTitleName>
  </dt_DecisionJudgePanel>
  <dt_LegalEntityDetails>
    <Fax>08-9100550</Fax>
    <Phone>08-6270141</Phone>
    <AddressDesc>קומה 6</AddressDesc>
    <PartyID>2</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PartyID>1</PartyID>
    <PartyTypeID>1</PartyTypeID>
    <DecisionID>0</DecisionID>
    <StreetName>פרי מגדים 11\117</StreetName>
    <CityName>אופקים</CityName>
    <FullName>עופר אמיר</FullName>
    <IsPublicationProhibited>false</IsPublicationProhibited>
  </dt_LegalEntityDetails>
  <dt_LegalEntityDetails>
    <Fax>072-2449829</Fax>
    <Phone>074-7044680</Phone>
    <AddressDesc>קומה א</AddressDesc>
    <PartyID>1</PartyID>
    <PartyTypeID>2</PartyTypeID>
    <DecisionID>0</DecisionID>
    <StreetName>הרצל 118</StreetName>
    <ZipCode>8422057</ZipCode>
    <CityName>באר שבע</CityName>
    <FullName>שרון שוחט אביב </FullName>
    <Email>sharonavivlaw@gmail.com</Email>
    <IsPublicationProhibited>false</IsPublicationProhibited>
  </dt_LegalEntityDetails>
  <dt_LegalEntityDetails>
    <PartyID>2</PartyID>
    <PartyTypeID>1</PartyTypeID>
    <DecisionID>0</DecisionID>
    <StreetName>ירושלים  1\89</StreetName>
    <CityName>אופקים</CityName>
    <FullName>מיכל אמיר</FullName>
    <IsPublicationProhibited>false</IsPublicationProhibited>
  </dt_LegalEntityDetails>
  <dt_CaseJudicalPersonActive>
    <CaseJudicalPerson>שופטת שני כ"ץ</CaseJudicalPerson>
  </dt_CaseJudicalPersonActive>
  <dt_Sitting>
    <PreviousMeetingDate>2023-04-02T10:30:00+03:00</PreviousMeetingDate>
    <PreviousSittingTypeID>2</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Props1.xml><?xml version="1.0" encoding="utf-8"?>
<ds:datastoreItem xmlns:ds="http://schemas.openxmlformats.org/officeDocument/2006/customXml" ds:itemID="{244A09DD-302E-4091-BA58-ACA654F05C4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5811</Words>
  <Characters>29058</Characters>
  <Application>Microsoft Office Word</Application>
  <DocSecurity>0</DocSecurity>
  <Lines>242</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2024-05-20T07:19:00Z</dcterms:created>
  <dcterms:modified xsi:type="dcterms:W3CDTF">2024-05-20T07:19:00Z</dcterms:modified>
</cp:coreProperties>
</file>